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00F92" w14:textId="77777777" w:rsidR="00A46E80" w:rsidRPr="009B4070" w:rsidRDefault="00A46E80" w:rsidP="00A46E80">
      <w:pPr>
        <w:jc w:val="center"/>
        <w:rPr>
          <w:b/>
          <w:color w:val="C00000"/>
          <w:sz w:val="32"/>
        </w:rPr>
      </w:pPr>
      <w:r w:rsidRPr="009B4070">
        <w:rPr>
          <w:b/>
          <w:color w:val="C00000"/>
          <w:sz w:val="32"/>
        </w:rPr>
        <w:t>MEMORANDUM</w:t>
      </w:r>
    </w:p>
    <w:p w14:paraId="57B24960" w14:textId="49A0FE93" w:rsidR="005C7AB9" w:rsidRDefault="005C7AB9" w:rsidP="00A46E80">
      <w:pPr>
        <w:jc w:val="center"/>
        <w:rPr>
          <w:b/>
          <w:color w:val="C00000"/>
          <w:sz w:val="32"/>
        </w:rPr>
      </w:pPr>
    </w:p>
    <w:p w14:paraId="40532F42" w14:textId="5248D95B" w:rsidR="002768E8" w:rsidRDefault="002768E8" w:rsidP="00A46E80">
      <w:pPr>
        <w:jc w:val="center"/>
        <w:rPr>
          <w:b/>
          <w:color w:val="C00000"/>
          <w:sz w:val="32"/>
        </w:rPr>
      </w:pPr>
    </w:p>
    <w:p w14:paraId="4FC764DB" w14:textId="77777777" w:rsidR="002768E8" w:rsidRPr="009B4070" w:rsidRDefault="002768E8" w:rsidP="00A46E80">
      <w:pPr>
        <w:jc w:val="center"/>
        <w:rPr>
          <w:b/>
          <w:color w:val="C00000"/>
          <w:sz w:val="32"/>
        </w:rPr>
      </w:pPr>
    </w:p>
    <w:p w14:paraId="6DB5D2F2" w14:textId="77777777" w:rsidR="005C7AB9" w:rsidRPr="009B4070" w:rsidRDefault="00A46E80" w:rsidP="00A46E80">
      <w:pPr>
        <w:ind w:left="708"/>
        <w:jc w:val="center"/>
        <w:rPr>
          <w:b/>
          <w:color w:val="C00000"/>
          <w:sz w:val="32"/>
        </w:rPr>
      </w:pPr>
      <w:r w:rsidRPr="009B4070">
        <w:rPr>
          <w:b/>
          <w:color w:val="C00000"/>
          <w:sz w:val="32"/>
        </w:rPr>
        <w:t xml:space="preserve">OBLIGATIONS DE SOCIETE GENERALE </w:t>
      </w:r>
    </w:p>
    <w:p w14:paraId="736A7D68" w14:textId="628F3F39" w:rsidR="00F52A9B" w:rsidRDefault="00A46E80" w:rsidP="00A46E80">
      <w:pPr>
        <w:ind w:left="708"/>
        <w:jc w:val="center"/>
        <w:rPr>
          <w:b/>
          <w:color w:val="C00000"/>
          <w:sz w:val="32"/>
        </w:rPr>
      </w:pPr>
      <w:r w:rsidRPr="009B4070">
        <w:rPr>
          <w:b/>
          <w:color w:val="C00000"/>
          <w:sz w:val="32"/>
        </w:rPr>
        <w:t>POUR UNE REPRESENTATION D’INTERETS</w:t>
      </w:r>
      <w:r w:rsidR="005C7AB9" w:rsidRPr="009B4070">
        <w:rPr>
          <w:b/>
          <w:color w:val="C00000"/>
          <w:sz w:val="32"/>
        </w:rPr>
        <w:t xml:space="preserve"> </w:t>
      </w:r>
      <w:r w:rsidRPr="009B4070">
        <w:rPr>
          <w:b/>
          <w:color w:val="C00000"/>
          <w:sz w:val="32"/>
        </w:rPr>
        <w:t>RESPONSABLE</w:t>
      </w:r>
    </w:p>
    <w:p w14:paraId="2C794D78" w14:textId="77777777" w:rsidR="002768E8" w:rsidRPr="009B4070" w:rsidRDefault="002768E8" w:rsidP="00A46E80">
      <w:pPr>
        <w:ind w:left="708"/>
        <w:jc w:val="center"/>
        <w:rPr>
          <w:b/>
          <w:color w:val="C00000"/>
          <w:sz w:val="32"/>
        </w:rPr>
      </w:pPr>
    </w:p>
    <w:p w14:paraId="24C1EB83" w14:textId="2F74F582" w:rsidR="003A436B" w:rsidRDefault="003A436B" w:rsidP="003A436B">
      <w:pPr>
        <w:ind w:left="708"/>
        <w:rPr>
          <w:b/>
        </w:rPr>
      </w:pPr>
    </w:p>
    <w:p w14:paraId="34FB4ECC" w14:textId="280AC865" w:rsidR="002768E8" w:rsidRDefault="002768E8" w:rsidP="003A436B">
      <w:pPr>
        <w:ind w:left="708"/>
        <w:rPr>
          <w:b/>
        </w:rPr>
      </w:pPr>
    </w:p>
    <w:p w14:paraId="40B68DD4" w14:textId="366BCE44" w:rsidR="002768E8" w:rsidRDefault="002768E8" w:rsidP="003A436B">
      <w:pPr>
        <w:ind w:left="708"/>
        <w:rPr>
          <w:b/>
        </w:rPr>
      </w:pPr>
    </w:p>
    <w:p w14:paraId="60D4CEC8" w14:textId="77777777" w:rsidR="002768E8" w:rsidRPr="00214BC7" w:rsidRDefault="002768E8" w:rsidP="003A436B">
      <w:pPr>
        <w:ind w:left="708"/>
        <w:rPr>
          <w:b/>
          <w:sz w:val="28"/>
        </w:rPr>
      </w:pPr>
    </w:p>
    <w:p w14:paraId="57C6100E" w14:textId="5C73F06B" w:rsidR="003A436B" w:rsidRPr="00214BC7" w:rsidRDefault="00E0256B" w:rsidP="00214BC7">
      <w:pPr>
        <w:jc w:val="both"/>
        <w:rPr>
          <w:b/>
          <w:color w:val="C00000"/>
          <w:sz w:val="24"/>
        </w:rPr>
      </w:pPr>
      <w:r w:rsidRPr="00214BC7">
        <w:rPr>
          <w:b/>
          <w:color w:val="C00000"/>
          <w:sz w:val="24"/>
        </w:rPr>
        <w:t>SECTION 1. NOS PRINCIPALES OBLIGATIONS</w:t>
      </w:r>
    </w:p>
    <w:p w14:paraId="68895F5C" w14:textId="353F904A" w:rsidR="003A436B" w:rsidRPr="00214BC7" w:rsidRDefault="00E0256B" w:rsidP="00214BC7">
      <w:pPr>
        <w:jc w:val="both"/>
        <w:rPr>
          <w:b/>
          <w:color w:val="C00000"/>
          <w:sz w:val="24"/>
        </w:rPr>
      </w:pPr>
      <w:r w:rsidRPr="00214BC7">
        <w:rPr>
          <w:b/>
          <w:color w:val="C00000"/>
          <w:sz w:val="24"/>
        </w:rPr>
        <w:t xml:space="preserve">SECTION 2. NOTRE DISPOSITIF DE GOUVERNANCE </w:t>
      </w:r>
      <w:r w:rsidR="002768E8" w:rsidRPr="00214BC7">
        <w:rPr>
          <w:b/>
          <w:color w:val="C00000"/>
          <w:sz w:val="24"/>
        </w:rPr>
        <w:t xml:space="preserve">ET DE MAITRISE DES RISQUES </w:t>
      </w:r>
    </w:p>
    <w:p w14:paraId="44437CE3" w14:textId="77777777" w:rsidR="00341526" w:rsidRDefault="00E0256B" w:rsidP="00214BC7">
      <w:pPr>
        <w:jc w:val="both"/>
        <w:rPr>
          <w:b/>
          <w:color w:val="C00000"/>
          <w:sz w:val="24"/>
        </w:rPr>
      </w:pPr>
      <w:r w:rsidRPr="00214BC7">
        <w:rPr>
          <w:b/>
          <w:color w:val="C00000"/>
          <w:sz w:val="24"/>
        </w:rPr>
        <w:t>SECTION 3. POSITIONS PUBLIQUES</w:t>
      </w:r>
    </w:p>
    <w:p w14:paraId="51ABDB96" w14:textId="02B367CC" w:rsidR="002E4F5A" w:rsidRPr="000F62C6" w:rsidRDefault="00341526" w:rsidP="002E4F5A">
      <w:pPr>
        <w:jc w:val="both"/>
        <w:rPr>
          <w:b/>
          <w:color w:val="C00000"/>
          <w:sz w:val="24"/>
        </w:rPr>
      </w:pPr>
      <w:r>
        <w:rPr>
          <w:b/>
          <w:color w:val="C00000"/>
          <w:sz w:val="24"/>
        </w:rPr>
        <w:t xml:space="preserve">SECTION 4. </w:t>
      </w:r>
      <w:r w:rsidR="002E4F5A" w:rsidRPr="000F62C6">
        <w:rPr>
          <w:b/>
          <w:color w:val="C00000"/>
          <w:sz w:val="24"/>
        </w:rPr>
        <w:t xml:space="preserve">LISTE DES ASSOCIATIONS PAR LESQUELLES NOUS EFFECTUONS NOS ACTIVITES DE REPRESENTATION D’INTERETS </w:t>
      </w:r>
    </w:p>
    <w:p w14:paraId="5DC4D500" w14:textId="506AC2E4" w:rsidR="009B4070" w:rsidRPr="000F62C6" w:rsidRDefault="002E4F5A" w:rsidP="00214BC7">
      <w:pPr>
        <w:jc w:val="both"/>
        <w:rPr>
          <w:b/>
          <w:color w:val="C00000"/>
          <w:sz w:val="24"/>
        </w:rPr>
      </w:pPr>
      <w:r w:rsidRPr="000F62C6">
        <w:rPr>
          <w:b/>
          <w:color w:val="C00000"/>
          <w:sz w:val="24"/>
        </w:rPr>
        <w:t xml:space="preserve">SECTION 5. </w:t>
      </w:r>
      <w:r w:rsidR="00E0256B" w:rsidRPr="00214BC7">
        <w:rPr>
          <w:b/>
          <w:color w:val="C00000"/>
          <w:sz w:val="24"/>
        </w:rPr>
        <w:t xml:space="preserve">COUTS DE </w:t>
      </w:r>
      <w:r w:rsidR="00E371E3">
        <w:rPr>
          <w:b/>
          <w:color w:val="C00000"/>
          <w:sz w:val="24"/>
        </w:rPr>
        <w:t>REPRESENTATION D’INTERETS</w:t>
      </w:r>
    </w:p>
    <w:p w14:paraId="54E59EED" w14:textId="080EC72A" w:rsidR="009B4070" w:rsidRPr="00214BC7" w:rsidRDefault="009B4070" w:rsidP="00214BC7">
      <w:pPr>
        <w:jc w:val="both"/>
        <w:rPr>
          <w:b/>
          <w:color w:val="C00000"/>
          <w:sz w:val="24"/>
        </w:rPr>
      </w:pPr>
    </w:p>
    <w:p w14:paraId="39FB3A4D" w14:textId="449DAD51" w:rsidR="009B4070" w:rsidRPr="00214BC7" w:rsidRDefault="009B4070" w:rsidP="00214BC7">
      <w:pPr>
        <w:jc w:val="both"/>
        <w:rPr>
          <w:b/>
          <w:color w:val="C00000"/>
          <w:sz w:val="24"/>
        </w:rPr>
      </w:pPr>
    </w:p>
    <w:p w14:paraId="700EC328" w14:textId="0161C15B" w:rsidR="002768E8" w:rsidRPr="00214BC7" w:rsidRDefault="002768E8" w:rsidP="00214BC7">
      <w:pPr>
        <w:jc w:val="both"/>
        <w:rPr>
          <w:b/>
          <w:color w:val="C00000"/>
          <w:sz w:val="24"/>
        </w:rPr>
      </w:pPr>
    </w:p>
    <w:p w14:paraId="1E438239" w14:textId="1EE78719" w:rsidR="002768E8" w:rsidRPr="00214BC7" w:rsidRDefault="002768E8" w:rsidP="003A436B">
      <w:pPr>
        <w:rPr>
          <w:b/>
          <w:color w:val="C00000"/>
          <w:sz w:val="28"/>
        </w:rPr>
      </w:pPr>
    </w:p>
    <w:p w14:paraId="33368683" w14:textId="4DD3292B" w:rsidR="002768E8" w:rsidRPr="00214BC7" w:rsidRDefault="002768E8" w:rsidP="003A436B">
      <w:pPr>
        <w:rPr>
          <w:b/>
          <w:color w:val="C00000"/>
          <w:sz w:val="28"/>
        </w:rPr>
      </w:pPr>
    </w:p>
    <w:p w14:paraId="38DF2316" w14:textId="6351D7A9" w:rsidR="002768E8" w:rsidRDefault="002768E8" w:rsidP="003A436B">
      <w:pPr>
        <w:rPr>
          <w:b/>
          <w:color w:val="C00000"/>
        </w:rPr>
      </w:pPr>
    </w:p>
    <w:p w14:paraId="55CB51F9" w14:textId="7414A6A7" w:rsidR="002768E8" w:rsidRDefault="002768E8" w:rsidP="003A436B">
      <w:pPr>
        <w:rPr>
          <w:b/>
          <w:color w:val="C00000"/>
        </w:rPr>
      </w:pPr>
    </w:p>
    <w:p w14:paraId="574A55C5" w14:textId="59C93F35" w:rsidR="002768E8" w:rsidRDefault="002768E8" w:rsidP="003A436B">
      <w:pPr>
        <w:rPr>
          <w:b/>
          <w:color w:val="C00000"/>
        </w:rPr>
      </w:pPr>
    </w:p>
    <w:p w14:paraId="188AA986" w14:textId="1A964848" w:rsidR="002768E8" w:rsidRPr="00B17534" w:rsidRDefault="002768E8" w:rsidP="003A436B">
      <w:pPr>
        <w:rPr>
          <w:b/>
          <w:i/>
          <w:color w:val="C00000"/>
        </w:rPr>
      </w:pPr>
    </w:p>
    <w:p w14:paraId="65B45179" w14:textId="5CA683F3" w:rsidR="00593C44" w:rsidRDefault="003A6894" w:rsidP="00B17534">
      <w:pPr>
        <w:pBdr>
          <w:top w:val="single" w:sz="4" w:space="1" w:color="auto"/>
          <w:left w:val="single" w:sz="4" w:space="4" w:color="auto"/>
          <w:bottom w:val="single" w:sz="4" w:space="1" w:color="auto"/>
          <w:right w:val="single" w:sz="4" w:space="4" w:color="auto"/>
        </w:pBdr>
        <w:jc w:val="both"/>
        <w:rPr>
          <w:i/>
          <w:color w:val="000000" w:themeColor="text1"/>
        </w:rPr>
      </w:pPr>
      <w:r>
        <w:rPr>
          <w:i/>
          <w:color w:val="000000" w:themeColor="text1"/>
        </w:rPr>
        <w:t xml:space="preserve">L’ensemble de nos obligations en matière de représentation d’intérêts sont contenues dans le Code Société Générale, dont l’usage est par nature interne. </w:t>
      </w:r>
    </w:p>
    <w:p w14:paraId="7B20DDBC" w14:textId="77777777" w:rsidR="000F62C6" w:rsidRDefault="000F62C6" w:rsidP="00B17534">
      <w:pPr>
        <w:pBdr>
          <w:top w:val="single" w:sz="4" w:space="1" w:color="auto"/>
          <w:left w:val="single" w:sz="4" w:space="4" w:color="auto"/>
          <w:bottom w:val="single" w:sz="4" w:space="1" w:color="auto"/>
          <w:right w:val="single" w:sz="4" w:space="4" w:color="auto"/>
        </w:pBdr>
        <w:jc w:val="both"/>
        <w:rPr>
          <w:i/>
          <w:color w:val="000000" w:themeColor="text1"/>
        </w:rPr>
      </w:pPr>
    </w:p>
    <w:p w14:paraId="753ACA4B" w14:textId="3B5807AC" w:rsidR="002768E8" w:rsidRPr="00B17534" w:rsidRDefault="00593C44" w:rsidP="00B17534">
      <w:pPr>
        <w:pBdr>
          <w:top w:val="single" w:sz="4" w:space="1" w:color="auto"/>
          <w:left w:val="single" w:sz="4" w:space="4" w:color="auto"/>
          <w:bottom w:val="single" w:sz="4" w:space="1" w:color="auto"/>
          <w:right w:val="single" w:sz="4" w:space="4" w:color="auto"/>
        </w:pBdr>
        <w:jc w:val="both"/>
        <w:rPr>
          <w:b/>
          <w:i/>
          <w:color w:val="C00000"/>
        </w:rPr>
      </w:pPr>
      <w:r>
        <w:rPr>
          <w:i/>
          <w:color w:val="000000" w:themeColor="text1"/>
        </w:rPr>
        <w:t>C</w:t>
      </w:r>
      <w:r w:rsidR="000244F1">
        <w:rPr>
          <w:i/>
          <w:color w:val="000000" w:themeColor="text1"/>
        </w:rPr>
        <w:t>e document</w:t>
      </w:r>
      <w:r>
        <w:rPr>
          <w:i/>
          <w:color w:val="000000" w:themeColor="text1"/>
        </w:rPr>
        <w:t>, publié sur notre site institutionnel</w:t>
      </w:r>
      <w:r w:rsidR="00403BAF">
        <w:rPr>
          <w:i/>
          <w:color w:val="000000" w:themeColor="text1"/>
        </w:rPr>
        <w:t>, rappelle</w:t>
      </w:r>
      <w:r w:rsidR="000244F1">
        <w:rPr>
          <w:i/>
          <w:color w:val="000000" w:themeColor="text1"/>
        </w:rPr>
        <w:t xml:space="preserve"> </w:t>
      </w:r>
      <w:r w:rsidR="00B17534">
        <w:rPr>
          <w:i/>
          <w:color w:val="000000" w:themeColor="text1"/>
        </w:rPr>
        <w:t xml:space="preserve">l’ensemble de nos obligations en la matière </w:t>
      </w:r>
      <w:r w:rsidR="00B17534" w:rsidRPr="006C039F">
        <w:rPr>
          <w:b/>
          <w:i/>
          <w:color w:val="000000" w:themeColor="text1"/>
        </w:rPr>
        <w:t>(section 1)</w:t>
      </w:r>
      <w:r w:rsidR="000244F1">
        <w:rPr>
          <w:i/>
          <w:color w:val="000000" w:themeColor="text1"/>
        </w:rPr>
        <w:t xml:space="preserve">, présente </w:t>
      </w:r>
      <w:r w:rsidR="00B17534">
        <w:rPr>
          <w:i/>
          <w:color w:val="000000" w:themeColor="text1"/>
        </w:rPr>
        <w:t>notre dispositif de gouvernance et de maîtrise de</w:t>
      </w:r>
      <w:r w:rsidR="000244F1">
        <w:rPr>
          <w:i/>
          <w:color w:val="000000" w:themeColor="text1"/>
        </w:rPr>
        <w:t xml:space="preserve">s </w:t>
      </w:r>
      <w:r w:rsidR="00B17534">
        <w:rPr>
          <w:i/>
          <w:color w:val="000000" w:themeColor="text1"/>
        </w:rPr>
        <w:t>risques</w:t>
      </w:r>
      <w:r w:rsidR="000244F1">
        <w:rPr>
          <w:i/>
          <w:color w:val="000000" w:themeColor="text1"/>
        </w:rPr>
        <w:t xml:space="preserve"> découlant de ces activités</w:t>
      </w:r>
      <w:r w:rsidR="00B17534">
        <w:rPr>
          <w:i/>
          <w:color w:val="000000" w:themeColor="text1"/>
        </w:rPr>
        <w:t xml:space="preserve"> </w:t>
      </w:r>
      <w:r w:rsidR="00B17534" w:rsidRPr="006C039F">
        <w:rPr>
          <w:b/>
          <w:i/>
          <w:color w:val="000000" w:themeColor="text1"/>
        </w:rPr>
        <w:t>(section 2</w:t>
      </w:r>
      <w:r w:rsidR="00B17534">
        <w:rPr>
          <w:i/>
          <w:color w:val="000000" w:themeColor="text1"/>
        </w:rPr>
        <w:t>)</w:t>
      </w:r>
      <w:r w:rsidR="003A6894">
        <w:rPr>
          <w:i/>
          <w:color w:val="000000" w:themeColor="text1"/>
        </w:rPr>
        <w:t>,</w:t>
      </w:r>
      <w:r w:rsidR="000244F1">
        <w:rPr>
          <w:i/>
          <w:color w:val="000000" w:themeColor="text1"/>
        </w:rPr>
        <w:t xml:space="preserve"> décrit </w:t>
      </w:r>
      <w:r w:rsidR="00B17534">
        <w:rPr>
          <w:i/>
          <w:color w:val="000000" w:themeColor="text1"/>
        </w:rPr>
        <w:t xml:space="preserve">nos principales </w:t>
      </w:r>
      <w:r w:rsidR="003A6894">
        <w:rPr>
          <w:i/>
          <w:color w:val="000000" w:themeColor="text1"/>
        </w:rPr>
        <w:t xml:space="preserve">prises de </w:t>
      </w:r>
      <w:r w:rsidR="000244F1">
        <w:rPr>
          <w:i/>
          <w:color w:val="000000" w:themeColor="text1"/>
        </w:rPr>
        <w:t>positions</w:t>
      </w:r>
      <w:r w:rsidR="00341526">
        <w:rPr>
          <w:i/>
          <w:color w:val="000000" w:themeColor="text1"/>
        </w:rPr>
        <w:t xml:space="preserve"> </w:t>
      </w:r>
      <w:r w:rsidR="00341526" w:rsidRPr="00495C7F">
        <w:rPr>
          <w:b/>
          <w:i/>
          <w:color w:val="000000" w:themeColor="text1"/>
        </w:rPr>
        <w:t>(section</w:t>
      </w:r>
      <w:r w:rsidR="00495C7F">
        <w:rPr>
          <w:b/>
          <w:i/>
          <w:color w:val="000000" w:themeColor="text1"/>
        </w:rPr>
        <w:t xml:space="preserve"> </w:t>
      </w:r>
      <w:r w:rsidR="00341526" w:rsidRPr="00495C7F">
        <w:rPr>
          <w:b/>
          <w:i/>
          <w:color w:val="000000" w:themeColor="text1"/>
        </w:rPr>
        <w:t>3)</w:t>
      </w:r>
      <w:r w:rsidR="00341526">
        <w:rPr>
          <w:i/>
          <w:color w:val="000000" w:themeColor="text1"/>
        </w:rPr>
        <w:t>,</w:t>
      </w:r>
      <w:r w:rsidR="000244F1">
        <w:rPr>
          <w:i/>
          <w:color w:val="000000" w:themeColor="text1"/>
        </w:rPr>
        <w:t xml:space="preserve"> et recense les </w:t>
      </w:r>
      <w:r w:rsidR="00B17534">
        <w:rPr>
          <w:i/>
          <w:color w:val="000000" w:themeColor="text1"/>
        </w:rPr>
        <w:t xml:space="preserve">associations </w:t>
      </w:r>
      <w:r w:rsidR="00341526">
        <w:rPr>
          <w:i/>
          <w:color w:val="000000" w:themeColor="text1"/>
        </w:rPr>
        <w:t>par lesquelles nous réalisons nos activités de représentation d’intérêts</w:t>
      </w:r>
      <w:r w:rsidR="00B17534">
        <w:rPr>
          <w:i/>
          <w:color w:val="000000" w:themeColor="text1"/>
        </w:rPr>
        <w:t xml:space="preserve"> </w:t>
      </w:r>
      <w:r w:rsidR="00DB20C0" w:rsidRPr="00495C7F">
        <w:rPr>
          <w:b/>
          <w:i/>
          <w:color w:val="000000" w:themeColor="text1"/>
        </w:rPr>
        <w:t>(section 4</w:t>
      </w:r>
      <w:r w:rsidR="00DB20C0">
        <w:rPr>
          <w:i/>
          <w:color w:val="000000" w:themeColor="text1"/>
        </w:rPr>
        <w:t>), et chiffre l’ensemble des</w:t>
      </w:r>
      <w:r w:rsidR="00403BAF">
        <w:rPr>
          <w:i/>
          <w:color w:val="000000" w:themeColor="text1"/>
        </w:rPr>
        <w:t xml:space="preserve"> coûts occasionnés par </w:t>
      </w:r>
      <w:r w:rsidR="00DB20C0">
        <w:rPr>
          <w:i/>
          <w:color w:val="000000" w:themeColor="text1"/>
        </w:rPr>
        <w:t>ces activités</w:t>
      </w:r>
      <w:r w:rsidR="00403BAF">
        <w:rPr>
          <w:i/>
          <w:color w:val="000000" w:themeColor="text1"/>
        </w:rPr>
        <w:t xml:space="preserve"> </w:t>
      </w:r>
      <w:r w:rsidR="00B17534" w:rsidRPr="006C039F">
        <w:rPr>
          <w:b/>
          <w:i/>
          <w:color w:val="000000" w:themeColor="text1"/>
        </w:rPr>
        <w:t xml:space="preserve">(section </w:t>
      </w:r>
      <w:r w:rsidR="00C415D1">
        <w:rPr>
          <w:b/>
          <w:i/>
          <w:color w:val="000000" w:themeColor="text1"/>
        </w:rPr>
        <w:t>5</w:t>
      </w:r>
      <w:r w:rsidR="00B17534" w:rsidRPr="006C039F">
        <w:rPr>
          <w:b/>
          <w:i/>
          <w:color w:val="000000" w:themeColor="text1"/>
        </w:rPr>
        <w:t>)</w:t>
      </w:r>
      <w:r w:rsidR="00B17534">
        <w:rPr>
          <w:i/>
          <w:color w:val="000000" w:themeColor="text1"/>
        </w:rPr>
        <w:t xml:space="preserve">. </w:t>
      </w:r>
    </w:p>
    <w:p w14:paraId="33C3766B" w14:textId="6CA2C7E7" w:rsidR="002768E8" w:rsidRPr="00B17534" w:rsidRDefault="002768E8" w:rsidP="003A436B">
      <w:pPr>
        <w:rPr>
          <w:b/>
          <w:i/>
          <w:color w:val="C00000"/>
        </w:rPr>
      </w:pPr>
    </w:p>
    <w:p w14:paraId="3BDBCB60" w14:textId="7A15EF6C" w:rsidR="002768E8" w:rsidRPr="00B17534" w:rsidRDefault="002768E8" w:rsidP="003A436B">
      <w:pPr>
        <w:rPr>
          <w:b/>
          <w:i/>
          <w:color w:val="C00000"/>
        </w:rPr>
      </w:pPr>
    </w:p>
    <w:p w14:paraId="368F025D" w14:textId="275A74A4" w:rsidR="002768E8" w:rsidRDefault="002768E8" w:rsidP="003A436B">
      <w:pPr>
        <w:rPr>
          <w:b/>
          <w:color w:val="C00000"/>
        </w:rPr>
      </w:pPr>
    </w:p>
    <w:p w14:paraId="54397CA9" w14:textId="3C704B5E" w:rsidR="002768E8" w:rsidRDefault="002768E8" w:rsidP="003A436B">
      <w:pPr>
        <w:rPr>
          <w:b/>
          <w:color w:val="C00000"/>
        </w:rPr>
      </w:pPr>
    </w:p>
    <w:p w14:paraId="3B08252C" w14:textId="4286E286" w:rsidR="002768E8" w:rsidRDefault="002768E8" w:rsidP="003A436B">
      <w:pPr>
        <w:rPr>
          <w:b/>
          <w:color w:val="C00000"/>
        </w:rPr>
      </w:pPr>
    </w:p>
    <w:p w14:paraId="4BAD0AD7" w14:textId="4885C3FB" w:rsidR="002768E8" w:rsidRDefault="002768E8" w:rsidP="003A436B">
      <w:pPr>
        <w:rPr>
          <w:b/>
          <w:color w:val="C00000"/>
        </w:rPr>
      </w:pPr>
    </w:p>
    <w:p w14:paraId="4EBC40E9" w14:textId="2713047C" w:rsidR="002768E8" w:rsidRDefault="002768E8" w:rsidP="003A436B">
      <w:pPr>
        <w:rPr>
          <w:b/>
          <w:color w:val="C00000"/>
        </w:rPr>
      </w:pPr>
    </w:p>
    <w:p w14:paraId="1F9FDAB9" w14:textId="52969E3B" w:rsidR="002768E8" w:rsidRDefault="002768E8" w:rsidP="003A436B">
      <w:pPr>
        <w:rPr>
          <w:b/>
          <w:color w:val="C00000"/>
        </w:rPr>
      </w:pPr>
    </w:p>
    <w:p w14:paraId="77413205" w14:textId="1B28DBEF" w:rsidR="002768E8" w:rsidRDefault="002768E8" w:rsidP="003A436B">
      <w:pPr>
        <w:rPr>
          <w:b/>
          <w:color w:val="C00000"/>
        </w:rPr>
      </w:pPr>
    </w:p>
    <w:p w14:paraId="098A2BE1" w14:textId="14C2183B" w:rsidR="002768E8" w:rsidRDefault="002768E8" w:rsidP="003A436B">
      <w:pPr>
        <w:rPr>
          <w:b/>
          <w:color w:val="C00000"/>
        </w:rPr>
      </w:pPr>
    </w:p>
    <w:p w14:paraId="75283977" w14:textId="2331869D" w:rsidR="002768E8" w:rsidRDefault="002768E8" w:rsidP="003A436B">
      <w:pPr>
        <w:rPr>
          <w:b/>
          <w:color w:val="C00000"/>
        </w:rPr>
      </w:pPr>
    </w:p>
    <w:p w14:paraId="3E05FC98" w14:textId="48094438" w:rsidR="002768E8" w:rsidRDefault="002768E8" w:rsidP="003A436B">
      <w:pPr>
        <w:rPr>
          <w:b/>
          <w:color w:val="C00000"/>
        </w:rPr>
      </w:pPr>
    </w:p>
    <w:p w14:paraId="268AE3CC" w14:textId="04B8F6EB" w:rsidR="00B17534" w:rsidRDefault="00B17534" w:rsidP="003A436B">
      <w:pPr>
        <w:rPr>
          <w:b/>
          <w:color w:val="C00000"/>
        </w:rPr>
      </w:pPr>
    </w:p>
    <w:p w14:paraId="46E54F11" w14:textId="462D3A13" w:rsidR="00B71E52" w:rsidRDefault="00B71E52" w:rsidP="003A436B">
      <w:pPr>
        <w:rPr>
          <w:b/>
          <w:color w:val="C00000"/>
        </w:rPr>
      </w:pPr>
    </w:p>
    <w:p w14:paraId="5019CB56" w14:textId="089A7351" w:rsidR="000244F1" w:rsidRDefault="000244F1" w:rsidP="003A436B">
      <w:pPr>
        <w:rPr>
          <w:b/>
          <w:color w:val="C00000"/>
        </w:rPr>
      </w:pPr>
    </w:p>
    <w:p w14:paraId="2846B26F" w14:textId="3B381528" w:rsidR="000244F1" w:rsidRDefault="000244F1" w:rsidP="003A436B">
      <w:pPr>
        <w:rPr>
          <w:b/>
          <w:color w:val="C00000"/>
        </w:rPr>
      </w:pPr>
    </w:p>
    <w:p w14:paraId="71906849" w14:textId="4BFDA0AB" w:rsidR="000244F1" w:rsidRDefault="000244F1" w:rsidP="003A436B">
      <w:pPr>
        <w:rPr>
          <w:b/>
          <w:color w:val="C00000"/>
        </w:rPr>
      </w:pPr>
    </w:p>
    <w:p w14:paraId="5C09AC8A" w14:textId="7A2D23F7" w:rsidR="000244F1" w:rsidRDefault="000244F1" w:rsidP="003A436B">
      <w:pPr>
        <w:rPr>
          <w:b/>
          <w:color w:val="C00000"/>
        </w:rPr>
      </w:pPr>
    </w:p>
    <w:p w14:paraId="542C0801" w14:textId="7F115F06" w:rsidR="009B4070" w:rsidRDefault="009B4070" w:rsidP="003A436B">
      <w:pPr>
        <w:rPr>
          <w:b/>
          <w:color w:val="C00000"/>
        </w:rPr>
      </w:pPr>
    </w:p>
    <w:p w14:paraId="1AE9DB38" w14:textId="2B36F5E9" w:rsidR="009B4070" w:rsidRPr="00214BC7" w:rsidRDefault="00E0256B" w:rsidP="009B4070">
      <w:pPr>
        <w:rPr>
          <w:b/>
          <w:color w:val="C00000"/>
          <w:sz w:val="24"/>
        </w:rPr>
      </w:pPr>
      <w:r w:rsidRPr="00214BC7">
        <w:rPr>
          <w:b/>
          <w:color w:val="C00000"/>
          <w:sz w:val="24"/>
        </w:rPr>
        <w:lastRenderedPageBreak/>
        <w:t>SECTION 1. NOS PRINCIPALES OBLIGATIONS</w:t>
      </w:r>
    </w:p>
    <w:p w14:paraId="018C74D8" w14:textId="77777777" w:rsidR="005C7AB9" w:rsidRPr="005C7AB9" w:rsidRDefault="005C7AB9" w:rsidP="005C7AB9">
      <w:pPr>
        <w:rPr>
          <w:b/>
          <w:bCs/>
        </w:rPr>
      </w:pPr>
    </w:p>
    <w:p w14:paraId="046B35CC" w14:textId="77777777" w:rsidR="00E01AE0" w:rsidRDefault="00F52A9B" w:rsidP="005C7AB9">
      <w:pPr>
        <w:shd w:val="clear" w:color="auto" w:fill="FFFFFF"/>
        <w:spacing w:after="150"/>
        <w:ind w:left="426"/>
        <w:jc w:val="both"/>
        <w:rPr>
          <w:color w:val="000000"/>
          <w:lang w:eastAsia="fr-FR"/>
        </w:rPr>
      </w:pPr>
      <w:r>
        <w:rPr>
          <w:color w:val="000000"/>
          <w:lang w:eastAsia="fr-FR"/>
        </w:rPr>
        <w:t xml:space="preserve">Depuis </w:t>
      </w:r>
      <w:r>
        <w:rPr>
          <w:b/>
          <w:bCs/>
          <w:color w:val="000000"/>
          <w:lang w:eastAsia="fr-FR"/>
        </w:rPr>
        <w:t>février 2014</w:t>
      </w:r>
      <w:r>
        <w:rPr>
          <w:color w:val="000000"/>
          <w:lang w:eastAsia="fr-FR"/>
        </w:rPr>
        <w:t>, le Groupe a mené de façon volontaire diverses actions visant à améliorer la transparence de ses activités de représentation d'intérêts, par :</w:t>
      </w:r>
    </w:p>
    <w:p w14:paraId="1FFB96D9" w14:textId="1BB54A8D" w:rsidR="00E01AE0" w:rsidRPr="005C7AB9" w:rsidRDefault="0079223E" w:rsidP="005C7AB9">
      <w:pPr>
        <w:numPr>
          <w:ilvl w:val="2"/>
          <w:numId w:val="2"/>
        </w:numPr>
        <w:shd w:val="clear" w:color="auto" w:fill="FFFFFF"/>
        <w:spacing w:after="150"/>
        <w:jc w:val="both"/>
        <w:rPr>
          <w:rStyle w:val="lev"/>
          <w:b w:val="0"/>
          <w:bCs w:val="0"/>
          <w:color w:val="000000"/>
          <w:lang w:eastAsia="fr-FR"/>
        </w:rPr>
      </w:pPr>
      <w:r>
        <w:rPr>
          <w:color w:val="000000"/>
        </w:rPr>
        <w:t>L</w:t>
      </w:r>
      <w:r w:rsidR="00F52A9B" w:rsidRPr="00E01AE0">
        <w:rPr>
          <w:color w:val="000000"/>
        </w:rPr>
        <w:t xml:space="preserve">a signature de </w:t>
      </w:r>
      <w:hyperlink r:id="rId8" w:history="1">
        <w:r w:rsidR="00F52A9B" w:rsidRPr="00C8364A">
          <w:rPr>
            <w:rStyle w:val="Lienhypertexte"/>
          </w:rPr>
          <w:t>la déclaration commune de Transparency International France</w:t>
        </w:r>
      </w:hyperlink>
      <w:r w:rsidR="00F52A9B" w:rsidRPr="00E01AE0">
        <w:rPr>
          <w:color w:val="000000"/>
        </w:rPr>
        <w:t xml:space="preserve">, </w:t>
      </w:r>
      <w:r>
        <w:rPr>
          <w:rStyle w:val="lev"/>
          <w:b w:val="0"/>
          <w:color w:val="000000"/>
        </w:rPr>
        <w:t>par laquelle</w:t>
      </w:r>
      <w:r w:rsidR="00E01AE0" w:rsidRPr="005C7AB9">
        <w:rPr>
          <w:rStyle w:val="lev"/>
          <w:b w:val="0"/>
          <w:color w:val="000000"/>
        </w:rPr>
        <w:t xml:space="preserve"> le Groupe s’engage à :</w:t>
      </w:r>
    </w:p>
    <w:p w14:paraId="11D6C99A" w14:textId="77777777" w:rsidR="005C7AB9" w:rsidRPr="005C7AB9" w:rsidRDefault="005C7AB9" w:rsidP="005C7AB9">
      <w:pPr>
        <w:pStyle w:val="Paragraphedeliste"/>
        <w:numPr>
          <w:ilvl w:val="0"/>
          <w:numId w:val="13"/>
        </w:numPr>
        <w:shd w:val="clear" w:color="auto" w:fill="FFFFFF"/>
        <w:ind w:left="1560" w:hanging="480"/>
        <w:jc w:val="both"/>
        <w:rPr>
          <w:rStyle w:val="lev"/>
          <w:b w:val="0"/>
          <w:bCs w:val="0"/>
          <w:color w:val="000000"/>
        </w:rPr>
      </w:pPr>
      <w:r>
        <w:rPr>
          <w:rStyle w:val="lev"/>
          <w:b w:val="0"/>
          <w:bCs w:val="0"/>
          <w:color w:val="000000"/>
        </w:rPr>
        <w:t>a</w:t>
      </w:r>
      <w:r w:rsidR="00E01AE0">
        <w:rPr>
          <w:rStyle w:val="lev"/>
          <w:b w:val="0"/>
          <w:bCs w:val="0"/>
          <w:color w:val="000000"/>
        </w:rPr>
        <w:t xml:space="preserve">pporter son </w:t>
      </w:r>
      <w:r w:rsidR="00E01AE0" w:rsidRPr="005C7AB9">
        <w:rPr>
          <w:rStyle w:val="lev"/>
          <w:bCs w:val="0"/>
          <w:color w:val="000000"/>
        </w:rPr>
        <w:t>soutien à la promotion des enjeux de transparence et d’intégrité autour du lobbying</w:t>
      </w:r>
      <w:r w:rsidR="00E01AE0">
        <w:rPr>
          <w:rStyle w:val="lev"/>
          <w:b w:val="0"/>
          <w:bCs w:val="0"/>
          <w:color w:val="000000"/>
        </w:rPr>
        <w:t xml:space="preserve"> et aux actions conduites par Transparency International France</w:t>
      </w:r>
      <w:r>
        <w:rPr>
          <w:rStyle w:val="lev"/>
          <w:b w:val="0"/>
          <w:bCs w:val="0"/>
          <w:color w:val="000000"/>
        </w:rPr>
        <w:t> ;</w:t>
      </w:r>
    </w:p>
    <w:p w14:paraId="7800C710" w14:textId="1968551C" w:rsidR="00E01AE0" w:rsidRDefault="005C7AB9" w:rsidP="005C7AB9">
      <w:pPr>
        <w:pStyle w:val="Paragraphedeliste"/>
        <w:numPr>
          <w:ilvl w:val="0"/>
          <w:numId w:val="13"/>
        </w:numPr>
        <w:shd w:val="clear" w:color="auto" w:fill="FFFFFF"/>
        <w:ind w:left="1560" w:hanging="480"/>
        <w:jc w:val="both"/>
        <w:rPr>
          <w:rStyle w:val="lev"/>
          <w:b w:val="0"/>
          <w:bCs w:val="0"/>
          <w:color w:val="000000"/>
        </w:rPr>
      </w:pPr>
      <w:r w:rsidRPr="005C7AB9">
        <w:rPr>
          <w:rStyle w:val="lev"/>
          <w:bCs w:val="0"/>
          <w:color w:val="000000"/>
        </w:rPr>
        <w:t>p</w:t>
      </w:r>
      <w:r w:rsidR="00E01AE0" w:rsidRPr="005C7AB9">
        <w:rPr>
          <w:rStyle w:val="lev"/>
          <w:bCs w:val="0"/>
          <w:color w:val="000000"/>
        </w:rPr>
        <w:t>romouvoir un lobbying transparent, intègre et contribuant au débat public</w:t>
      </w:r>
      <w:r w:rsidR="00E01AE0">
        <w:rPr>
          <w:rStyle w:val="lev"/>
          <w:b w:val="0"/>
          <w:bCs w:val="0"/>
          <w:color w:val="000000"/>
        </w:rPr>
        <w:t xml:space="preserve">, auprès de nos collaborateurs et des tiers qui participent </w:t>
      </w:r>
      <w:r w:rsidR="004A3940">
        <w:rPr>
          <w:rStyle w:val="lev"/>
          <w:b w:val="0"/>
          <w:bCs w:val="0"/>
          <w:color w:val="000000"/>
        </w:rPr>
        <w:t>en notre nom</w:t>
      </w:r>
      <w:r w:rsidR="00E01AE0">
        <w:rPr>
          <w:rStyle w:val="lev"/>
          <w:b w:val="0"/>
          <w:bCs w:val="0"/>
          <w:color w:val="000000"/>
        </w:rPr>
        <w:t xml:space="preserve"> aux processus de décision publique ;</w:t>
      </w:r>
    </w:p>
    <w:p w14:paraId="50E19627" w14:textId="77777777" w:rsidR="005C7AB9" w:rsidRDefault="005C7AB9" w:rsidP="005C7AB9">
      <w:pPr>
        <w:pStyle w:val="Paragraphedeliste"/>
        <w:numPr>
          <w:ilvl w:val="0"/>
          <w:numId w:val="13"/>
        </w:numPr>
        <w:shd w:val="clear" w:color="auto" w:fill="FFFFFF"/>
        <w:ind w:left="1560" w:hanging="480"/>
        <w:jc w:val="both"/>
        <w:rPr>
          <w:rStyle w:val="lev"/>
          <w:b w:val="0"/>
          <w:bCs w:val="0"/>
          <w:color w:val="000000"/>
        </w:rPr>
      </w:pPr>
      <w:r>
        <w:rPr>
          <w:rStyle w:val="lev"/>
          <w:b w:val="0"/>
          <w:bCs w:val="0"/>
          <w:color w:val="000000"/>
        </w:rPr>
        <w:t>t</w:t>
      </w:r>
      <w:r w:rsidR="00E01AE0">
        <w:rPr>
          <w:rStyle w:val="lev"/>
          <w:b w:val="0"/>
          <w:bCs w:val="0"/>
          <w:color w:val="000000"/>
        </w:rPr>
        <w:t xml:space="preserve">enir compte des </w:t>
      </w:r>
      <w:r w:rsidR="00E01AE0" w:rsidRPr="005C7AB9">
        <w:rPr>
          <w:rStyle w:val="lev"/>
          <w:bCs w:val="0"/>
          <w:color w:val="000000"/>
        </w:rPr>
        <w:t>principes recommandés par Transparency International France</w:t>
      </w:r>
      <w:r w:rsidR="00E01AE0">
        <w:rPr>
          <w:rStyle w:val="lev"/>
          <w:b w:val="0"/>
          <w:bCs w:val="0"/>
          <w:color w:val="000000"/>
        </w:rPr>
        <w:t xml:space="preserve">. </w:t>
      </w:r>
    </w:p>
    <w:p w14:paraId="794A3699" w14:textId="77777777" w:rsidR="005C7AB9" w:rsidRDefault="005C7AB9" w:rsidP="005C7AB9">
      <w:pPr>
        <w:pStyle w:val="Paragraphedeliste"/>
        <w:shd w:val="clear" w:color="auto" w:fill="FFFFFF"/>
        <w:ind w:left="1560"/>
        <w:jc w:val="both"/>
        <w:rPr>
          <w:rStyle w:val="lev"/>
          <w:b w:val="0"/>
          <w:bCs w:val="0"/>
          <w:color w:val="000000"/>
        </w:rPr>
      </w:pPr>
    </w:p>
    <w:p w14:paraId="2F1D8305" w14:textId="29D52B56" w:rsidR="005C7AB9" w:rsidRDefault="00265E82" w:rsidP="005C7AB9">
      <w:pPr>
        <w:pStyle w:val="Paragraphedeliste"/>
        <w:shd w:val="clear" w:color="auto" w:fill="FFFFFF"/>
        <w:ind w:left="1560"/>
        <w:jc w:val="both"/>
        <w:rPr>
          <w:rStyle w:val="lev"/>
          <w:b w:val="0"/>
          <w:bCs w:val="0"/>
          <w:color w:val="000000"/>
        </w:rPr>
      </w:pPr>
      <w:r>
        <w:rPr>
          <w:rStyle w:val="lev"/>
          <w:b w:val="0"/>
          <w:bCs w:val="0"/>
          <w:color w:val="000000"/>
        </w:rPr>
        <w:t xml:space="preserve">En signant cette déclaration commune, le Groupe s’engage ainsi, s’il ne l’a pas déjà fait, à : </w:t>
      </w:r>
    </w:p>
    <w:p w14:paraId="1A381EFA" w14:textId="77777777" w:rsidR="005C7AB9" w:rsidRPr="00265E82" w:rsidRDefault="005C7AB9" w:rsidP="005C7AB9">
      <w:pPr>
        <w:pStyle w:val="Paragraphedeliste"/>
        <w:shd w:val="clear" w:color="auto" w:fill="FFFFFF"/>
        <w:ind w:left="1560"/>
        <w:jc w:val="both"/>
        <w:rPr>
          <w:rStyle w:val="lev"/>
          <w:b w:val="0"/>
          <w:bCs w:val="0"/>
          <w:color w:val="000000"/>
        </w:rPr>
      </w:pPr>
    </w:p>
    <w:p w14:paraId="0E15E46A" w14:textId="219ED1A4" w:rsidR="00265E82" w:rsidRDefault="00265E82" w:rsidP="00265E82">
      <w:pPr>
        <w:pStyle w:val="Default"/>
        <w:numPr>
          <w:ilvl w:val="0"/>
          <w:numId w:val="20"/>
        </w:numPr>
        <w:jc w:val="both"/>
        <w:rPr>
          <w:sz w:val="22"/>
          <w:szCs w:val="22"/>
        </w:rPr>
      </w:pPr>
      <w:r>
        <w:rPr>
          <w:sz w:val="22"/>
          <w:szCs w:val="22"/>
        </w:rPr>
        <w:t xml:space="preserve">initier une réflexion sur nos pratiques en matière de relations institutionnelles et définir une charte de lobbying responsable propre à notre organisation ; </w:t>
      </w:r>
    </w:p>
    <w:p w14:paraId="78E8681B" w14:textId="1CD3740F" w:rsidR="00265E82" w:rsidRDefault="00265E82" w:rsidP="00265E82">
      <w:pPr>
        <w:pStyle w:val="Default"/>
        <w:numPr>
          <w:ilvl w:val="0"/>
          <w:numId w:val="20"/>
        </w:numPr>
        <w:jc w:val="both"/>
        <w:rPr>
          <w:sz w:val="22"/>
          <w:szCs w:val="22"/>
        </w:rPr>
      </w:pPr>
      <w:r>
        <w:rPr>
          <w:sz w:val="22"/>
          <w:szCs w:val="22"/>
        </w:rPr>
        <w:t xml:space="preserve">développer une politique de lobbying responsable, en cohérence avec nos engagements publics, notamment en matière de gouvernance, développement durable, de responsabilité sociétale d’entreprise, d’éthique et de lutte contre la corruption ; </w:t>
      </w:r>
    </w:p>
    <w:p w14:paraId="06EEDD75" w14:textId="77182AC7" w:rsidR="00265E82" w:rsidRDefault="00265E82" w:rsidP="00265E82">
      <w:pPr>
        <w:pStyle w:val="Default"/>
        <w:numPr>
          <w:ilvl w:val="0"/>
          <w:numId w:val="20"/>
        </w:numPr>
        <w:jc w:val="both"/>
        <w:rPr>
          <w:sz w:val="22"/>
          <w:szCs w:val="22"/>
        </w:rPr>
      </w:pPr>
      <w:r>
        <w:rPr>
          <w:sz w:val="22"/>
          <w:szCs w:val="22"/>
        </w:rPr>
        <w:t xml:space="preserve">être transparent sur l’organisation de nos activités de lobbying ; </w:t>
      </w:r>
    </w:p>
    <w:p w14:paraId="14B2788B" w14:textId="752E117F" w:rsidR="00265E82" w:rsidRDefault="00265E82" w:rsidP="00265E82">
      <w:pPr>
        <w:pStyle w:val="Default"/>
        <w:numPr>
          <w:ilvl w:val="0"/>
          <w:numId w:val="20"/>
        </w:numPr>
        <w:jc w:val="both"/>
        <w:rPr>
          <w:sz w:val="22"/>
          <w:szCs w:val="22"/>
        </w:rPr>
      </w:pPr>
      <w:r>
        <w:rPr>
          <w:sz w:val="22"/>
          <w:szCs w:val="22"/>
        </w:rPr>
        <w:t xml:space="preserve">rendre publiques nos principales positions communiquées aux décideurs publics ainsi que les positions communes défendues par nos fédérations professionnelles </w:t>
      </w:r>
      <w:r w:rsidRPr="00265E82">
        <w:rPr>
          <w:sz w:val="22"/>
          <w:szCs w:val="22"/>
        </w:rPr>
        <w:t xml:space="preserve">(selon le type d’organisation) </w:t>
      </w:r>
      <w:r>
        <w:rPr>
          <w:sz w:val="22"/>
          <w:szCs w:val="22"/>
        </w:rPr>
        <w:t xml:space="preserve">; </w:t>
      </w:r>
    </w:p>
    <w:p w14:paraId="1DC73853" w14:textId="03622310" w:rsidR="00265E82" w:rsidRDefault="00265E82" w:rsidP="00265E82">
      <w:pPr>
        <w:pStyle w:val="Default"/>
        <w:numPr>
          <w:ilvl w:val="0"/>
          <w:numId w:val="20"/>
        </w:numPr>
        <w:jc w:val="both"/>
        <w:rPr>
          <w:sz w:val="22"/>
          <w:szCs w:val="22"/>
        </w:rPr>
      </w:pPr>
      <w:r>
        <w:rPr>
          <w:sz w:val="22"/>
          <w:szCs w:val="22"/>
        </w:rPr>
        <w:t xml:space="preserve">promouvoir, auprès de nos fédérations professionnelles ou de nos membres </w:t>
      </w:r>
      <w:r w:rsidRPr="00265E82">
        <w:rPr>
          <w:sz w:val="22"/>
          <w:szCs w:val="22"/>
        </w:rPr>
        <w:t>(selon type le d’organisation)</w:t>
      </w:r>
      <w:r>
        <w:rPr>
          <w:sz w:val="22"/>
          <w:szCs w:val="22"/>
        </w:rPr>
        <w:t xml:space="preserve">, l’adoption de principes équivalents en matière de transparence du lobbying ; </w:t>
      </w:r>
    </w:p>
    <w:p w14:paraId="7EC89B18" w14:textId="63209BBB" w:rsidR="00265E82" w:rsidRDefault="00265E82" w:rsidP="00265E82">
      <w:pPr>
        <w:pStyle w:val="Default"/>
        <w:numPr>
          <w:ilvl w:val="0"/>
          <w:numId w:val="20"/>
        </w:numPr>
        <w:jc w:val="both"/>
        <w:rPr>
          <w:sz w:val="22"/>
          <w:szCs w:val="22"/>
        </w:rPr>
      </w:pPr>
      <w:r>
        <w:rPr>
          <w:sz w:val="22"/>
          <w:szCs w:val="22"/>
        </w:rPr>
        <w:t xml:space="preserve">ne transmettre aux responsables publics que des informations ou arguments fiables, vérifiables et actualisés ; </w:t>
      </w:r>
    </w:p>
    <w:p w14:paraId="70F2EAD7" w14:textId="66E7BBE8" w:rsidR="00265E82" w:rsidRDefault="00265E82" w:rsidP="00265E82">
      <w:pPr>
        <w:pStyle w:val="Default"/>
        <w:numPr>
          <w:ilvl w:val="0"/>
          <w:numId w:val="20"/>
        </w:numPr>
        <w:jc w:val="both"/>
        <w:rPr>
          <w:sz w:val="22"/>
          <w:szCs w:val="22"/>
        </w:rPr>
      </w:pPr>
      <w:r>
        <w:rPr>
          <w:sz w:val="22"/>
          <w:szCs w:val="22"/>
        </w:rPr>
        <w:t xml:space="preserve">respecter les autres parties prenantes qui peuvent avoir des positions divergentes ; </w:t>
      </w:r>
    </w:p>
    <w:p w14:paraId="15CB00EC" w14:textId="77777777" w:rsidR="00265E82" w:rsidRDefault="00265E82" w:rsidP="00265E82">
      <w:pPr>
        <w:pStyle w:val="Default"/>
        <w:numPr>
          <w:ilvl w:val="0"/>
          <w:numId w:val="20"/>
        </w:numPr>
        <w:jc w:val="both"/>
        <w:rPr>
          <w:sz w:val="22"/>
          <w:szCs w:val="22"/>
        </w:rPr>
      </w:pPr>
      <w:r>
        <w:rPr>
          <w:sz w:val="22"/>
          <w:szCs w:val="22"/>
        </w:rPr>
        <w:t xml:space="preserve">rendre publiques, le cas échéant et dans les pays où la réglementation les autorise, les contributions aux partis politiques ; </w:t>
      </w:r>
    </w:p>
    <w:p w14:paraId="12E1ACCD" w14:textId="7C27D082" w:rsidR="004B5DB5" w:rsidRPr="00265E82" w:rsidRDefault="00265E82" w:rsidP="00265E82">
      <w:pPr>
        <w:pStyle w:val="Default"/>
        <w:numPr>
          <w:ilvl w:val="0"/>
          <w:numId w:val="20"/>
        </w:numPr>
        <w:jc w:val="both"/>
        <w:rPr>
          <w:rStyle w:val="lev"/>
          <w:b w:val="0"/>
          <w:bCs w:val="0"/>
        </w:rPr>
      </w:pPr>
      <w:r w:rsidRPr="00265E82">
        <w:rPr>
          <w:sz w:val="22"/>
          <w:szCs w:val="22"/>
        </w:rPr>
        <w:t>communiquer sur les actions entreprises pour mettre en œuvre et assurer le suivi de nos engagements et de notre charte de lobbying.</w:t>
      </w:r>
    </w:p>
    <w:p w14:paraId="5452DE50" w14:textId="3C6A11E2" w:rsidR="004B5DB5" w:rsidRDefault="004B5DB5" w:rsidP="004B5DB5">
      <w:pPr>
        <w:pStyle w:val="Paragraphedeliste"/>
        <w:shd w:val="clear" w:color="auto" w:fill="FFFFFF"/>
        <w:ind w:left="1920"/>
        <w:jc w:val="both"/>
        <w:rPr>
          <w:rStyle w:val="lev"/>
          <w:bCs w:val="0"/>
          <w:color w:val="000000"/>
        </w:rPr>
      </w:pPr>
    </w:p>
    <w:p w14:paraId="74FE40FE" w14:textId="14F9B880" w:rsidR="00742449" w:rsidRPr="00866EE9" w:rsidRDefault="00C8364A" w:rsidP="00866EE9">
      <w:pPr>
        <w:numPr>
          <w:ilvl w:val="2"/>
          <w:numId w:val="2"/>
        </w:numPr>
        <w:shd w:val="clear" w:color="auto" w:fill="FFFFFF"/>
        <w:spacing w:after="150"/>
        <w:jc w:val="both"/>
        <w:rPr>
          <w:color w:val="000000"/>
        </w:rPr>
      </w:pPr>
      <w:r>
        <w:rPr>
          <w:color w:val="000000"/>
        </w:rPr>
        <w:t xml:space="preserve">L’adoption </w:t>
      </w:r>
      <w:r w:rsidR="00F52A9B">
        <w:rPr>
          <w:color w:val="000000"/>
        </w:rPr>
        <w:t>de la </w:t>
      </w:r>
      <w:hyperlink r:id="rId9" w:history="1">
        <w:r w:rsidR="00F52A9B" w:rsidRPr="00C8364A">
          <w:rPr>
            <w:rStyle w:val="Lienhypertexte"/>
          </w:rPr>
          <w:t>« Charte Société Générale pour une représentation responsable auprès des pouvoirs publics et des institutions représentatives </w:t>
        </w:r>
        <w:r w:rsidR="00F52A9B" w:rsidRPr="00C8364A">
          <w:rPr>
            <w:rStyle w:val="Lienhypertexte"/>
            <w:bCs/>
          </w:rPr>
          <w:t>»</w:t>
        </w:r>
      </w:hyperlink>
      <w:r w:rsidRPr="00C8364A">
        <w:rPr>
          <w:bCs/>
          <w:color w:val="000000"/>
        </w:rPr>
        <w:t xml:space="preserve">,. </w:t>
      </w:r>
      <w:r w:rsidRPr="00C8364A">
        <w:rPr>
          <w:color w:val="000000"/>
        </w:rPr>
        <w:t> </w:t>
      </w:r>
      <w:r w:rsidR="00A46E80">
        <w:t>S’appliquant à l'ensemble des collaborateurs du Groupe, cette Charte vaut également pour ses filiales et différentes succursales en France et</w:t>
      </w:r>
      <w:r w:rsidR="00742449">
        <w:t xml:space="preserve"> à l'étranger, </w:t>
      </w:r>
      <w:r w:rsidR="00866EE9">
        <w:t>et</w:t>
      </w:r>
      <w:r w:rsidR="00742449">
        <w:t xml:space="preserve"> engage le Groupe à :  </w:t>
      </w:r>
    </w:p>
    <w:p w14:paraId="7F38E6F7" w14:textId="6B7E02A9" w:rsidR="00265E82" w:rsidRDefault="00742449" w:rsidP="00866EE9">
      <w:pPr>
        <w:pStyle w:val="Paragraphedeliste"/>
        <w:numPr>
          <w:ilvl w:val="0"/>
          <w:numId w:val="19"/>
        </w:numPr>
        <w:shd w:val="clear" w:color="auto" w:fill="FFFFFF"/>
        <w:jc w:val="both"/>
      </w:pPr>
      <w:r>
        <w:t xml:space="preserve">Se déclarer auprès des institutions auprès desquelles les activités de représentation sont exercées lorsque celles-ci disposent de registres, et respecter les codes de conduite liés à l’inscription sur les registres de transparence ; </w:t>
      </w:r>
    </w:p>
    <w:p w14:paraId="17DBBFE4" w14:textId="77777777" w:rsidR="00265E82" w:rsidRDefault="00742449" w:rsidP="00265E82">
      <w:pPr>
        <w:pStyle w:val="Paragraphedeliste"/>
        <w:numPr>
          <w:ilvl w:val="0"/>
          <w:numId w:val="19"/>
        </w:numPr>
        <w:shd w:val="clear" w:color="auto" w:fill="FFFFFF"/>
        <w:jc w:val="both"/>
      </w:pPr>
      <w:r>
        <w:t xml:space="preserve">Ne pas inciter les membres des organisations avec lesquelles le Groupe est en contact à enfreindre les règles et les normes de comportement qui leur sont applicables ; </w:t>
      </w:r>
    </w:p>
    <w:p w14:paraId="13B7BBA0" w14:textId="77777777" w:rsidR="00265E82" w:rsidRDefault="00742449" w:rsidP="00265E82">
      <w:pPr>
        <w:pStyle w:val="Paragraphedeliste"/>
        <w:numPr>
          <w:ilvl w:val="0"/>
          <w:numId w:val="19"/>
        </w:numPr>
        <w:shd w:val="clear" w:color="auto" w:fill="FFFFFF"/>
        <w:jc w:val="both"/>
      </w:pPr>
      <w:r>
        <w:t xml:space="preserve">Ne pas obtenir ou essayer d’obtenir des informations ou des décisions d'une manière illégale ou en recourant à une pression abusive ou à un comportement inapproprié ; </w:t>
      </w:r>
    </w:p>
    <w:p w14:paraId="7CBA96D1" w14:textId="77777777" w:rsidR="00265E82" w:rsidRDefault="00742449" w:rsidP="00265E82">
      <w:pPr>
        <w:pStyle w:val="Paragraphedeliste"/>
        <w:numPr>
          <w:ilvl w:val="0"/>
          <w:numId w:val="19"/>
        </w:numPr>
        <w:shd w:val="clear" w:color="auto" w:fill="FFFFFF"/>
        <w:jc w:val="both"/>
      </w:pPr>
      <w:r>
        <w:t xml:space="preserve">Ne diffuser que des informations qui, à sa connaissance, sont fiables, vérifiables et actualisées ; </w:t>
      </w:r>
    </w:p>
    <w:p w14:paraId="677FFCC2" w14:textId="77777777" w:rsidR="00265E82" w:rsidRDefault="00742449" w:rsidP="00265E82">
      <w:pPr>
        <w:pStyle w:val="Paragraphedeliste"/>
        <w:numPr>
          <w:ilvl w:val="0"/>
          <w:numId w:val="19"/>
        </w:numPr>
        <w:shd w:val="clear" w:color="auto" w:fill="FFFFFF"/>
        <w:jc w:val="both"/>
      </w:pPr>
      <w:r>
        <w:t xml:space="preserve">Veiller à ce que les cabinets d’affaires publiques et consultants externes avec lesquels le Groupe est ponctuellement amené à collaborer acceptent la présente charte et s'y conforment ; </w:t>
      </w:r>
    </w:p>
    <w:p w14:paraId="74FB6608" w14:textId="77777777" w:rsidR="00265E82" w:rsidRDefault="00742449" w:rsidP="00265E82">
      <w:pPr>
        <w:pStyle w:val="Paragraphedeliste"/>
        <w:numPr>
          <w:ilvl w:val="0"/>
          <w:numId w:val="19"/>
        </w:numPr>
        <w:shd w:val="clear" w:color="auto" w:fill="FFFFFF"/>
        <w:jc w:val="both"/>
      </w:pPr>
      <w:r>
        <w:lastRenderedPageBreak/>
        <w:t xml:space="preserve">Observer une neutralité politique et s'abstenir de soutenir par des dons ou subventions des organisations ou activités politiques, même si la législation locale le permet ; </w:t>
      </w:r>
    </w:p>
    <w:p w14:paraId="5C7E8BFE" w14:textId="77777777" w:rsidR="00265E82" w:rsidRDefault="00742449" w:rsidP="00265E82">
      <w:pPr>
        <w:pStyle w:val="Paragraphedeliste"/>
        <w:numPr>
          <w:ilvl w:val="0"/>
          <w:numId w:val="19"/>
        </w:numPr>
        <w:shd w:val="clear" w:color="auto" w:fill="FFFFFF"/>
        <w:jc w:val="both"/>
      </w:pPr>
      <w:r>
        <w:t xml:space="preserve">S’assurer que les collaborateurs de la Direction des Affaires Publiques s'abstiennent de tout mandat politique (national ou européen) pendant l'exercice de leurs fonctions ; </w:t>
      </w:r>
    </w:p>
    <w:p w14:paraId="679FEC4A" w14:textId="77777777" w:rsidR="00265E82" w:rsidRDefault="00742449" w:rsidP="00265E82">
      <w:pPr>
        <w:pStyle w:val="Paragraphedeliste"/>
        <w:numPr>
          <w:ilvl w:val="0"/>
          <w:numId w:val="19"/>
        </w:numPr>
        <w:shd w:val="clear" w:color="auto" w:fill="FFFFFF"/>
        <w:jc w:val="both"/>
      </w:pPr>
      <w:r>
        <w:t xml:space="preserve">S’assurer que les collaborateurs concernés par la présente charte respectent par ailleurs, comme tous les collaborateurs du Groupe, le Code de conduite et les règles internes du Groupe concernant la prévention de la corruption, les cadeaux et les invitations ; </w:t>
      </w:r>
    </w:p>
    <w:p w14:paraId="1D4FED03" w14:textId="77777777" w:rsidR="00265E82" w:rsidRDefault="00742449" w:rsidP="00265E82">
      <w:pPr>
        <w:pStyle w:val="Paragraphedeliste"/>
        <w:numPr>
          <w:ilvl w:val="0"/>
          <w:numId w:val="19"/>
        </w:numPr>
        <w:shd w:val="clear" w:color="auto" w:fill="FFFFFF"/>
        <w:jc w:val="both"/>
      </w:pPr>
      <w:r>
        <w:t xml:space="preserve">S’assurer que les collaborateurs et les éventuels cabinets d’affaires publiques et consultants externes s’identifient et déclarent qui ils représentent aux institutions et organisations auprès desquelles ils interviennent ; </w:t>
      </w:r>
    </w:p>
    <w:p w14:paraId="03E77749" w14:textId="77777777" w:rsidR="00265E82" w:rsidRDefault="00742449" w:rsidP="00265E82">
      <w:pPr>
        <w:pStyle w:val="Paragraphedeliste"/>
        <w:numPr>
          <w:ilvl w:val="0"/>
          <w:numId w:val="19"/>
        </w:numPr>
        <w:shd w:val="clear" w:color="auto" w:fill="FFFFFF"/>
        <w:jc w:val="both"/>
      </w:pPr>
      <w:r>
        <w:t xml:space="preserve">Diffuser les principales prises de position publiques aux équipes concernées directement ou indirectement par des activités de représentation publique ; </w:t>
      </w:r>
    </w:p>
    <w:p w14:paraId="62320506" w14:textId="77777777" w:rsidR="00265E82" w:rsidRDefault="00742449" w:rsidP="00265E82">
      <w:pPr>
        <w:pStyle w:val="Paragraphedeliste"/>
        <w:numPr>
          <w:ilvl w:val="0"/>
          <w:numId w:val="19"/>
        </w:numPr>
        <w:shd w:val="clear" w:color="auto" w:fill="FFFFFF"/>
        <w:jc w:val="both"/>
      </w:pPr>
      <w:r>
        <w:t xml:space="preserve">Inciter les associations professionnelles dont le Groupe est membre à rendre publiques les principales positions communiquées aux décideurs publics notamment sur leurs sites Internet ; </w:t>
      </w:r>
    </w:p>
    <w:p w14:paraId="6CDC9F75" w14:textId="2A002256" w:rsidR="00742449" w:rsidRDefault="00742449" w:rsidP="00265E82">
      <w:pPr>
        <w:pStyle w:val="Paragraphedeliste"/>
        <w:numPr>
          <w:ilvl w:val="0"/>
          <w:numId w:val="19"/>
        </w:numPr>
        <w:shd w:val="clear" w:color="auto" w:fill="FFFFFF"/>
        <w:jc w:val="both"/>
      </w:pPr>
      <w:r>
        <w:t>S’assurer que les personnes chargées de façon permanente de l’activité de représentation du Groupe disposent des compétences nécessaires à l’exercice de leur fonction, reçoivent des instructions ou bénéficient de formations régulières dans leur domaine d’action.</w:t>
      </w:r>
    </w:p>
    <w:p w14:paraId="66DE3F44" w14:textId="77777777" w:rsidR="00A46E80" w:rsidRDefault="00A46E80" w:rsidP="00A46E80">
      <w:pPr>
        <w:shd w:val="clear" w:color="auto" w:fill="FFFFFF"/>
        <w:ind w:left="1776"/>
        <w:rPr>
          <w:color w:val="000000"/>
        </w:rPr>
      </w:pPr>
    </w:p>
    <w:p w14:paraId="4E18545D" w14:textId="1E7A29F7" w:rsidR="00C35DFA" w:rsidRPr="00C35DFA" w:rsidRDefault="0079223E" w:rsidP="00C35DFA">
      <w:pPr>
        <w:numPr>
          <w:ilvl w:val="0"/>
          <w:numId w:val="21"/>
        </w:numPr>
        <w:shd w:val="clear" w:color="auto" w:fill="FFFFFF"/>
        <w:tabs>
          <w:tab w:val="clear" w:pos="720"/>
        </w:tabs>
        <w:jc w:val="both"/>
        <w:rPr>
          <w:color w:val="000000"/>
        </w:rPr>
      </w:pPr>
      <w:r>
        <w:rPr>
          <w:color w:val="000000"/>
        </w:rPr>
        <w:t>L</w:t>
      </w:r>
      <w:r w:rsidR="00F52A9B">
        <w:rPr>
          <w:color w:val="000000"/>
        </w:rPr>
        <w:t>'inscription au </w:t>
      </w:r>
      <w:hyperlink r:id="rId10" w:anchor="fr" w:history="1">
        <w:r w:rsidR="00F52A9B" w:rsidRPr="007B6088">
          <w:rPr>
            <w:rStyle w:val="Lienhypertexte"/>
            <w:bCs/>
          </w:rPr>
          <w:t>registre des institutions européennes</w:t>
        </w:r>
      </w:hyperlink>
      <w:r w:rsidR="00F52A9B" w:rsidRPr="007B6088">
        <w:rPr>
          <w:color w:val="000000"/>
        </w:rPr>
        <w:t>, conjoint au Parlement européen et à la Commission européenne, complété d'un </w:t>
      </w:r>
      <w:hyperlink r:id="rId11" w:anchor="fr" w:history="1">
        <w:r w:rsidR="00F52A9B" w:rsidRPr="00C35DFA">
          <w:rPr>
            <w:rStyle w:val="Lienhypertexte"/>
            <w:bCs/>
          </w:rPr>
          <w:t>code de conduite</w:t>
        </w:r>
      </w:hyperlink>
      <w:r w:rsidR="007B6088" w:rsidRPr="007B6088">
        <w:rPr>
          <w:bCs/>
        </w:rPr>
        <w:t>,</w:t>
      </w:r>
      <w:r w:rsidR="00C35DFA">
        <w:rPr>
          <w:bCs/>
        </w:rPr>
        <w:t xml:space="preserve">. </w:t>
      </w:r>
      <w:r w:rsidR="00C35DFA">
        <w:t xml:space="preserve">A ce titre, et en sus des informations relatives au Groupe lui-même (statut légal, coordonnées), celui-ci renseigne </w:t>
      </w:r>
      <w:r w:rsidR="00C35DFA" w:rsidRPr="00C35DFA">
        <w:rPr>
          <w:b/>
        </w:rPr>
        <w:t>chaque année</w:t>
      </w:r>
      <w:r w:rsidR="00C35DFA">
        <w:t xml:space="preserve"> les informations suivantes : </w:t>
      </w:r>
    </w:p>
    <w:p w14:paraId="284AC98B" w14:textId="77777777" w:rsidR="00C35DFA" w:rsidRPr="00C35DFA" w:rsidRDefault="00C35DFA" w:rsidP="00C35DFA">
      <w:pPr>
        <w:shd w:val="clear" w:color="auto" w:fill="FFFFFF"/>
        <w:ind w:left="720"/>
        <w:jc w:val="both"/>
        <w:rPr>
          <w:color w:val="000000"/>
        </w:rPr>
      </w:pPr>
    </w:p>
    <w:p w14:paraId="4F7AAEE2" w14:textId="77777777" w:rsidR="00C35DFA" w:rsidRPr="00C35DFA" w:rsidRDefault="00C35DFA" w:rsidP="00C35DFA">
      <w:pPr>
        <w:numPr>
          <w:ilvl w:val="1"/>
          <w:numId w:val="21"/>
        </w:numPr>
        <w:shd w:val="clear" w:color="auto" w:fill="FFFFFF"/>
        <w:jc w:val="both"/>
        <w:rPr>
          <w:color w:val="000000"/>
        </w:rPr>
      </w:pPr>
      <w:r>
        <w:t xml:space="preserve">le nom de la personne juridiquement responsable de l’organisation ; </w:t>
      </w:r>
    </w:p>
    <w:p w14:paraId="21065AD5" w14:textId="77777777" w:rsidR="00C35DFA" w:rsidRPr="00C35DFA" w:rsidRDefault="00C35DFA" w:rsidP="00C35DFA">
      <w:pPr>
        <w:numPr>
          <w:ilvl w:val="1"/>
          <w:numId w:val="21"/>
        </w:numPr>
        <w:shd w:val="clear" w:color="auto" w:fill="FFFFFF"/>
        <w:jc w:val="both"/>
        <w:rPr>
          <w:color w:val="000000"/>
        </w:rPr>
      </w:pPr>
      <w:r>
        <w:t xml:space="preserve">le nom du responsable des affaires européennes ; </w:t>
      </w:r>
    </w:p>
    <w:p w14:paraId="6C1D030C" w14:textId="73E7A213" w:rsidR="00C35DFA" w:rsidRPr="00C35DFA" w:rsidRDefault="00C35DFA" w:rsidP="00C35DFA">
      <w:pPr>
        <w:numPr>
          <w:ilvl w:val="1"/>
          <w:numId w:val="21"/>
        </w:numPr>
        <w:shd w:val="clear" w:color="auto" w:fill="FFFFFF"/>
        <w:jc w:val="both"/>
        <w:rPr>
          <w:color w:val="000000"/>
        </w:rPr>
      </w:pPr>
      <w:r>
        <w:t>le nombre de personnes participant aux activités couvertes par le registre et le nombre de personnes accréditées pour accéder aux bâtiments du Parlement européen ;</w:t>
      </w:r>
    </w:p>
    <w:p w14:paraId="31FA6B8F" w14:textId="77777777" w:rsidR="00C35DFA" w:rsidRPr="00C35DFA" w:rsidRDefault="00C35DFA" w:rsidP="00C35DFA">
      <w:pPr>
        <w:numPr>
          <w:ilvl w:val="1"/>
          <w:numId w:val="21"/>
        </w:numPr>
        <w:shd w:val="clear" w:color="auto" w:fill="FFFFFF"/>
        <w:jc w:val="both"/>
        <w:rPr>
          <w:color w:val="000000"/>
        </w:rPr>
      </w:pPr>
      <w:r>
        <w:t xml:space="preserve">le temps consacré par chaque personne à ces activités selon des pourcentages d’activité ; </w:t>
      </w:r>
    </w:p>
    <w:p w14:paraId="1DD54D8F" w14:textId="77777777" w:rsidR="00C35DFA" w:rsidRPr="00C35DFA" w:rsidRDefault="00C35DFA" w:rsidP="00C35DFA">
      <w:pPr>
        <w:numPr>
          <w:ilvl w:val="1"/>
          <w:numId w:val="21"/>
        </w:numPr>
        <w:shd w:val="clear" w:color="auto" w:fill="FFFFFF"/>
        <w:jc w:val="both"/>
        <w:rPr>
          <w:color w:val="000000"/>
        </w:rPr>
      </w:pPr>
      <w:r>
        <w:t xml:space="preserve">les objectifs et missions du Groupe ; </w:t>
      </w:r>
    </w:p>
    <w:p w14:paraId="6933B5B6" w14:textId="77777777" w:rsidR="009B4070" w:rsidRPr="009B4070" w:rsidRDefault="00C35DFA" w:rsidP="007B6088">
      <w:pPr>
        <w:numPr>
          <w:ilvl w:val="1"/>
          <w:numId w:val="21"/>
        </w:numPr>
        <w:shd w:val="clear" w:color="auto" w:fill="FFFFFF"/>
        <w:jc w:val="both"/>
        <w:rPr>
          <w:color w:val="000000"/>
        </w:rPr>
      </w:pPr>
      <w:r>
        <w:t xml:space="preserve">les activités spécifiques couvertes par le registre (correspondant aux 5 </w:t>
      </w:r>
      <w:r w:rsidR="009B4070">
        <w:t xml:space="preserve">principales dossiers législatifs pour lesquels le Groupe est actif ; </w:t>
      </w:r>
    </w:p>
    <w:p w14:paraId="7039EAE5" w14:textId="77777777" w:rsidR="009B4070" w:rsidRPr="009B4070" w:rsidRDefault="009B4070" w:rsidP="007B6088">
      <w:pPr>
        <w:numPr>
          <w:ilvl w:val="1"/>
          <w:numId w:val="21"/>
        </w:numPr>
        <w:shd w:val="clear" w:color="auto" w:fill="FFFFFF"/>
        <w:jc w:val="both"/>
        <w:rPr>
          <w:color w:val="000000"/>
        </w:rPr>
      </w:pPr>
      <w:r>
        <w:t>la participation du Groupe à des structures et plateformes de l’UE (exemple : groupes de haut niveau, comités consultatifs, groupes d’experts, intergroupes, forums industriels) ;</w:t>
      </w:r>
    </w:p>
    <w:p w14:paraId="05BA1E05" w14:textId="77777777" w:rsidR="009B4070" w:rsidRPr="009B4070" w:rsidRDefault="009B4070" w:rsidP="007B6088">
      <w:pPr>
        <w:numPr>
          <w:ilvl w:val="1"/>
          <w:numId w:val="21"/>
        </w:numPr>
        <w:shd w:val="clear" w:color="auto" w:fill="FFFFFF"/>
        <w:jc w:val="both"/>
        <w:rPr>
          <w:color w:val="000000"/>
        </w:rPr>
      </w:pPr>
      <w:r>
        <w:t xml:space="preserve">les domaines d’intérêts du Groupe ; </w:t>
      </w:r>
    </w:p>
    <w:p w14:paraId="4DA0F531" w14:textId="32EB2A53" w:rsidR="009B4070" w:rsidRPr="009B4070" w:rsidRDefault="009B4070" w:rsidP="007B6088">
      <w:pPr>
        <w:numPr>
          <w:ilvl w:val="1"/>
          <w:numId w:val="21"/>
        </w:numPr>
        <w:shd w:val="clear" w:color="auto" w:fill="FFFFFF"/>
        <w:jc w:val="both"/>
        <w:rPr>
          <w:color w:val="000000"/>
        </w:rPr>
      </w:pPr>
      <w:r>
        <w:t xml:space="preserve">les organisations dont le Groupe est membre (participation à des associations, fédérations, confédérations, réseaux ou autres organes ); </w:t>
      </w:r>
    </w:p>
    <w:p w14:paraId="20B679C7" w14:textId="77777777" w:rsidR="009B4070" w:rsidRPr="009B4070" w:rsidRDefault="009B4070" w:rsidP="007B6088">
      <w:pPr>
        <w:numPr>
          <w:ilvl w:val="1"/>
          <w:numId w:val="21"/>
        </w:numPr>
        <w:shd w:val="clear" w:color="auto" w:fill="FFFFFF"/>
        <w:jc w:val="both"/>
        <w:rPr>
          <w:color w:val="000000"/>
        </w:rPr>
      </w:pPr>
      <w:r>
        <w:t xml:space="preserve">les informations financières suivantes : </w:t>
      </w:r>
    </w:p>
    <w:p w14:paraId="1CDB7412" w14:textId="77777777" w:rsidR="009B4070" w:rsidRPr="009B4070" w:rsidRDefault="009B4070" w:rsidP="009B4070">
      <w:pPr>
        <w:numPr>
          <w:ilvl w:val="2"/>
          <w:numId w:val="21"/>
        </w:numPr>
        <w:shd w:val="clear" w:color="auto" w:fill="FFFFFF"/>
        <w:jc w:val="both"/>
        <w:rPr>
          <w:color w:val="000000"/>
        </w:rPr>
      </w:pPr>
      <w:r>
        <w:t>les coûts annuels estimés résultant des activités couvertes par le registre ;</w:t>
      </w:r>
    </w:p>
    <w:p w14:paraId="4987202E" w14:textId="77777777" w:rsidR="009B4070" w:rsidRPr="009B4070" w:rsidRDefault="009B4070" w:rsidP="009B4070">
      <w:pPr>
        <w:numPr>
          <w:ilvl w:val="2"/>
          <w:numId w:val="21"/>
        </w:numPr>
        <w:shd w:val="clear" w:color="auto" w:fill="FFFFFF"/>
        <w:jc w:val="both"/>
        <w:rPr>
          <w:color w:val="000000"/>
        </w:rPr>
      </w:pPr>
      <w:r>
        <w:t>les financements reçus des institutions de l’UE ;</w:t>
      </w:r>
    </w:p>
    <w:p w14:paraId="23555EA4" w14:textId="72060807" w:rsidR="003A436B" w:rsidRPr="00F93EF9" w:rsidRDefault="009B4070" w:rsidP="007B6088">
      <w:pPr>
        <w:numPr>
          <w:ilvl w:val="2"/>
          <w:numId w:val="21"/>
        </w:numPr>
        <w:shd w:val="clear" w:color="auto" w:fill="FFFFFF"/>
        <w:jc w:val="both"/>
        <w:rPr>
          <w:color w:val="000000"/>
        </w:rPr>
      </w:pPr>
      <w:r>
        <w:t>le chiffre d’affaires imputable aux activités couvertes par le registre.</w:t>
      </w:r>
    </w:p>
    <w:p w14:paraId="0294ACB3" w14:textId="77777777" w:rsidR="00601E2F" w:rsidRDefault="00601E2F" w:rsidP="007B6088">
      <w:pPr>
        <w:shd w:val="clear" w:color="auto" w:fill="FFFFFF"/>
        <w:rPr>
          <w:color w:val="000000"/>
        </w:rPr>
      </w:pPr>
    </w:p>
    <w:p w14:paraId="40EA799A" w14:textId="4FA8ACB1" w:rsidR="007B6088" w:rsidRDefault="007B6088" w:rsidP="007B6088">
      <w:pPr>
        <w:pStyle w:val="Paragraphedeliste"/>
        <w:numPr>
          <w:ilvl w:val="2"/>
          <w:numId w:val="2"/>
        </w:numPr>
        <w:shd w:val="clear" w:color="auto" w:fill="FFFFFF"/>
        <w:ind w:left="709" w:hanging="283"/>
        <w:rPr>
          <w:color w:val="000000"/>
        </w:rPr>
      </w:pPr>
      <w:r w:rsidRPr="007B6088">
        <w:rPr>
          <w:color w:val="000000"/>
        </w:rPr>
        <w:t>Le</w:t>
      </w:r>
      <w:r w:rsidR="00F52A9B" w:rsidRPr="007B6088">
        <w:rPr>
          <w:color w:val="000000"/>
        </w:rPr>
        <w:t xml:space="preserve"> Groupe est également soumis au </w:t>
      </w:r>
      <w:hyperlink r:id="rId12" w:history="1">
        <w:r w:rsidR="00F52A9B" w:rsidRPr="007B6088">
          <w:rPr>
            <w:rStyle w:val="Lienhypertexte"/>
          </w:rPr>
          <w:t>code de conduite du Sénat</w:t>
        </w:r>
      </w:hyperlink>
      <w:r w:rsidR="0079223E">
        <w:rPr>
          <w:color w:val="000000"/>
        </w:rPr>
        <w:t xml:space="preserve"> (français) :</w:t>
      </w:r>
    </w:p>
    <w:p w14:paraId="7A8EC2B9" w14:textId="4046390B" w:rsidR="002613D6" w:rsidRDefault="002613D6" w:rsidP="00C35DFA">
      <w:pPr>
        <w:shd w:val="clear" w:color="auto" w:fill="FFFFFF"/>
      </w:pPr>
    </w:p>
    <w:p w14:paraId="5C6F5EBB" w14:textId="21E256C2" w:rsidR="002613D6" w:rsidRDefault="007B6088" w:rsidP="00C35DFA">
      <w:pPr>
        <w:pStyle w:val="Paragraphedeliste"/>
        <w:numPr>
          <w:ilvl w:val="0"/>
          <w:numId w:val="22"/>
        </w:numPr>
        <w:shd w:val="clear" w:color="auto" w:fill="FFFFFF"/>
        <w:jc w:val="both"/>
      </w:pPr>
      <w:r>
        <w:t xml:space="preserve">Les collaborateurs du Groupe amenés à entreprendre une démarche de représentation d’intérêts au Sénat français sont donc tenus de respecter les règles fixées par le Bureau du Sénat : </w:t>
      </w:r>
    </w:p>
    <w:p w14:paraId="03271C88" w14:textId="1210364C" w:rsidR="002613D6" w:rsidRDefault="002613D6" w:rsidP="002613D6">
      <w:pPr>
        <w:shd w:val="clear" w:color="auto" w:fill="FFFFFF"/>
      </w:pPr>
    </w:p>
    <w:p w14:paraId="79B87D4B" w14:textId="77777777" w:rsidR="002613D6" w:rsidRPr="002613D6" w:rsidRDefault="007B6088" w:rsidP="00C35DFA">
      <w:pPr>
        <w:pStyle w:val="Paragraphedeliste"/>
        <w:numPr>
          <w:ilvl w:val="1"/>
          <w:numId w:val="22"/>
        </w:numPr>
        <w:shd w:val="clear" w:color="auto" w:fill="FFFFFF"/>
        <w:jc w:val="both"/>
        <w:rPr>
          <w:color w:val="000000"/>
        </w:rPr>
      </w:pPr>
      <w:r>
        <w:t xml:space="preserve">dans leurs contacts avec les sénateurs, les collaborateurs du Président du Sénat, des sénateurs ou des groupes et les membres du personnel du Sénat, les représentants d’intérêts doivent indiquer leur identité, l’organisme pour lequel ils travaillent et les intérêts qu’ils représentent. Ils doivent s’abstenir de </w:t>
      </w:r>
      <w:r>
        <w:lastRenderedPageBreak/>
        <w:t xml:space="preserve">chercher à rencontrer ou contacter leurs interlocuteurs au Sénat de façon importune ; </w:t>
      </w:r>
    </w:p>
    <w:p w14:paraId="72E8AABC" w14:textId="77777777" w:rsidR="002613D6" w:rsidRPr="002613D6" w:rsidRDefault="007B6088" w:rsidP="00C35DFA">
      <w:pPr>
        <w:pStyle w:val="Paragraphedeliste"/>
        <w:numPr>
          <w:ilvl w:val="1"/>
          <w:numId w:val="22"/>
        </w:numPr>
        <w:shd w:val="clear" w:color="auto" w:fill="FFFFFF"/>
        <w:jc w:val="both"/>
        <w:rPr>
          <w:color w:val="000000"/>
        </w:rPr>
      </w:pPr>
      <w:r>
        <w:t>les représentants d’intérêts exercent leur activité au Sénat avec probité et intégrité ; - ils s’abstiennent de toute incitation à enfreindre les règles déontologiques applicables aux personnes avec lesquelles ils entrent en contact au Sénat. - ils se conforment à la réglementation du Sénat applicable aux person</w:t>
      </w:r>
      <w:r w:rsidR="002613D6">
        <w:t xml:space="preserve">nes admises dans ses locaux ; </w:t>
      </w:r>
    </w:p>
    <w:p w14:paraId="238584FF" w14:textId="77777777" w:rsidR="002613D6" w:rsidRPr="002613D6" w:rsidRDefault="007B6088" w:rsidP="00C35DFA">
      <w:pPr>
        <w:pStyle w:val="Paragraphedeliste"/>
        <w:numPr>
          <w:ilvl w:val="1"/>
          <w:numId w:val="22"/>
        </w:numPr>
        <w:shd w:val="clear" w:color="auto" w:fill="FFFFFF"/>
        <w:jc w:val="both"/>
        <w:rPr>
          <w:color w:val="000000"/>
        </w:rPr>
      </w:pPr>
      <w:r>
        <w:t>les représentants d’intérêts se conforment aux règles applicables aux colloques, manifestations et autres réunions organisées au Sénat. Ils s’interdisent notamment d’organiser des colloques, manifestations ou réunions dans lesquels la prise de parole d’un intervenant donne lieu au versement d’u</w:t>
      </w:r>
      <w:r w:rsidR="002613D6">
        <w:t>ne participation financière ;</w:t>
      </w:r>
    </w:p>
    <w:p w14:paraId="71DA427B" w14:textId="77777777" w:rsidR="002613D6" w:rsidRPr="002613D6" w:rsidRDefault="007B6088" w:rsidP="00C35DFA">
      <w:pPr>
        <w:pStyle w:val="Paragraphedeliste"/>
        <w:numPr>
          <w:ilvl w:val="1"/>
          <w:numId w:val="22"/>
        </w:numPr>
        <w:shd w:val="clear" w:color="auto" w:fill="FFFFFF"/>
        <w:jc w:val="both"/>
        <w:rPr>
          <w:color w:val="000000"/>
        </w:rPr>
      </w:pPr>
      <w:r>
        <w:t>toute démarche publicitaire ou commerciale est interdite aux représentants d’intérê</w:t>
      </w:r>
      <w:r w:rsidR="002613D6">
        <w:t>ts dans les locaux du Sénat ;</w:t>
      </w:r>
    </w:p>
    <w:p w14:paraId="0A02CF72" w14:textId="77777777" w:rsidR="002613D6" w:rsidRPr="002613D6" w:rsidRDefault="007B6088" w:rsidP="00C35DFA">
      <w:pPr>
        <w:pStyle w:val="Paragraphedeliste"/>
        <w:numPr>
          <w:ilvl w:val="1"/>
          <w:numId w:val="22"/>
        </w:numPr>
        <w:shd w:val="clear" w:color="auto" w:fill="FFFFFF"/>
        <w:jc w:val="both"/>
        <w:rPr>
          <w:color w:val="000000"/>
        </w:rPr>
      </w:pPr>
      <w:r>
        <w:t xml:space="preserve">il leur est interdit d’utiliser le logo du Sénat, sauf autorisation expresse délivrée par le </w:t>
      </w:r>
      <w:r w:rsidR="002613D6">
        <w:t xml:space="preserve">service de la Communication ; </w:t>
      </w:r>
    </w:p>
    <w:p w14:paraId="724E4625" w14:textId="77777777" w:rsidR="002613D6" w:rsidRPr="002613D6" w:rsidRDefault="007B6088" w:rsidP="00C35DFA">
      <w:pPr>
        <w:pStyle w:val="Paragraphedeliste"/>
        <w:numPr>
          <w:ilvl w:val="1"/>
          <w:numId w:val="22"/>
        </w:numPr>
        <w:shd w:val="clear" w:color="auto" w:fill="FFFFFF"/>
        <w:jc w:val="both"/>
        <w:rPr>
          <w:color w:val="000000"/>
        </w:rPr>
      </w:pPr>
      <w:r>
        <w:t>il leur est interdit d’engager toute démarche en vue d’obtenir des informations ou documents par des mo</w:t>
      </w:r>
      <w:r w:rsidR="002613D6">
        <w:t xml:space="preserve">yens frauduleux ou déloyaux ; </w:t>
      </w:r>
    </w:p>
    <w:p w14:paraId="7CB7DDD1" w14:textId="77777777" w:rsidR="002613D6" w:rsidRPr="002613D6" w:rsidRDefault="007B6088" w:rsidP="00C35DFA">
      <w:pPr>
        <w:pStyle w:val="Paragraphedeliste"/>
        <w:numPr>
          <w:ilvl w:val="1"/>
          <w:numId w:val="22"/>
        </w:numPr>
        <w:shd w:val="clear" w:color="auto" w:fill="FFFFFF"/>
        <w:jc w:val="both"/>
        <w:rPr>
          <w:color w:val="000000"/>
        </w:rPr>
      </w:pPr>
      <w:r>
        <w:t>il leur est interdit de céder à titre onéreux, ou contre toute forme de contrepartie, des documents parlementaires ainsi que tout autre do</w:t>
      </w:r>
      <w:r w:rsidR="002613D6">
        <w:t xml:space="preserve">cument du Sénat ; </w:t>
      </w:r>
    </w:p>
    <w:p w14:paraId="134A3319" w14:textId="77777777" w:rsidR="002613D6" w:rsidRPr="002613D6" w:rsidRDefault="007B6088" w:rsidP="00C35DFA">
      <w:pPr>
        <w:pStyle w:val="Paragraphedeliste"/>
        <w:numPr>
          <w:ilvl w:val="1"/>
          <w:numId w:val="22"/>
        </w:numPr>
        <w:shd w:val="clear" w:color="auto" w:fill="FFFFFF"/>
        <w:jc w:val="both"/>
        <w:rPr>
          <w:color w:val="000000"/>
        </w:rPr>
      </w:pPr>
      <w:r>
        <w:t>les représentants d’intérêts doivent s’abstenir de fournir à leurs interlocuteurs au Sénat des informations volontairement incomplètes ou inexactes destinées à les induire en erreur. Les informations qu’ils communiquent doivent être accessibles à tous les</w:t>
      </w:r>
      <w:r w:rsidR="002613D6">
        <w:t xml:space="preserve"> sénateurs qui le demandent ; </w:t>
      </w:r>
    </w:p>
    <w:p w14:paraId="5127E9BB" w14:textId="393076CC" w:rsidR="007B6088" w:rsidRPr="007B6088" w:rsidRDefault="007B6088" w:rsidP="00C35DFA">
      <w:pPr>
        <w:pStyle w:val="Paragraphedeliste"/>
        <w:numPr>
          <w:ilvl w:val="1"/>
          <w:numId w:val="22"/>
        </w:numPr>
        <w:shd w:val="clear" w:color="auto" w:fill="FFFFFF"/>
        <w:jc w:val="both"/>
        <w:rPr>
          <w:color w:val="000000"/>
        </w:rPr>
      </w:pPr>
      <w:r>
        <w:t>les représentants d’intérêts s’abstiennent de proposer ou de remettre aux personnes avec lesquelles ils entrent en contact au Sénat des présents, dons ou avantages quelconques d’une valeur excédant un montant de 150 €.</w:t>
      </w:r>
    </w:p>
    <w:p w14:paraId="2496DD2E" w14:textId="77777777" w:rsidR="007B6088" w:rsidRDefault="007B6088" w:rsidP="007B6088">
      <w:pPr>
        <w:pStyle w:val="Paragraphedeliste"/>
        <w:shd w:val="clear" w:color="auto" w:fill="FFFFFF"/>
        <w:ind w:left="709"/>
        <w:rPr>
          <w:color w:val="000000"/>
        </w:rPr>
      </w:pPr>
    </w:p>
    <w:p w14:paraId="241077EB" w14:textId="6F58DB94" w:rsidR="003A436B" w:rsidRDefault="0079223E" w:rsidP="003A436B">
      <w:pPr>
        <w:pStyle w:val="Paragraphedeliste"/>
        <w:numPr>
          <w:ilvl w:val="2"/>
          <w:numId w:val="2"/>
        </w:numPr>
        <w:shd w:val="clear" w:color="auto" w:fill="FFFFFF"/>
        <w:ind w:left="709" w:hanging="283"/>
        <w:jc w:val="both"/>
        <w:rPr>
          <w:color w:val="000000"/>
        </w:rPr>
      </w:pPr>
      <w:r>
        <w:rPr>
          <w:color w:val="000000"/>
          <w:lang w:eastAsia="fr-FR"/>
        </w:rPr>
        <w:t xml:space="preserve">Le </w:t>
      </w:r>
      <w:r w:rsidR="00F52A9B" w:rsidRPr="007B6088">
        <w:rPr>
          <w:color w:val="000000"/>
          <w:lang w:eastAsia="fr-FR"/>
        </w:rPr>
        <w:t xml:space="preserve">Groupe doit </w:t>
      </w:r>
      <w:r w:rsidR="00C35DFA">
        <w:rPr>
          <w:color w:val="000000"/>
          <w:lang w:eastAsia="fr-FR"/>
        </w:rPr>
        <w:t xml:space="preserve">également </w:t>
      </w:r>
      <w:r w:rsidR="00F52A9B" w:rsidRPr="007B6088">
        <w:rPr>
          <w:color w:val="000000"/>
          <w:lang w:eastAsia="fr-FR"/>
        </w:rPr>
        <w:t>respecter les obligations découlant de la </w:t>
      </w:r>
      <w:r w:rsidR="00F52A9B" w:rsidRPr="007B6088">
        <w:rPr>
          <w:rStyle w:val="lev"/>
          <w:color w:val="000000"/>
          <w:lang w:eastAsia="fr-FR"/>
        </w:rPr>
        <w:t>loi du 9 décembre 2016, dite « loi Sapin II »</w:t>
      </w:r>
      <w:r w:rsidR="00F52A9B" w:rsidRPr="007B6088">
        <w:rPr>
          <w:color w:val="000000"/>
          <w:lang w:eastAsia="fr-FR"/>
        </w:rPr>
        <w:t xml:space="preserve"> sur la transparence de la vie publique, la lutte contre la corruption et la modernisation de la vie économique. L'un de ses objectifs est d'« assurer l'information des citoyens sur les relations entre les représentants d'intérêts et les pouvoirs publ</w:t>
      </w:r>
      <w:r w:rsidR="00C35DFA">
        <w:rPr>
          <w:color w:val="000000"/>
          <w:lang w:eastAsia="fr-FR"/>
        </w:rPr>
        <w:t>ics » (article 25). Cette loi</w:t>
      </w:r>
      <w:r>
        <w:rPr>
          <w:color w:val="000000"/>
          <w:lang w:eastAsia="fr-FR"/>
        </w:rPr>
        <w:t>, qui</w:t>
      </w:r>
      <w:r w:rsidR="00C35DFA">
        <w:rPr>
          <w:color w:val="000000"/>
          <w:lang w:eastAsia="fr-FR"/>
        </w:rPr>
        <w:t xml:space="preserve"> </w:t>
      </w:r>
      <w:r w:rsidR="00F52A9B" w:rsidRPr="00C35DFA">
        <w:rPr>
          <w:color w:val="000000"/>
        </w:rPr>
        <w:t>institue un </w:t>
      </w:r>
      <w:r w:rsidR="00F52A9B" w:rsidRPr="00C35DFA">
        <w:rPr>
          <w:rStyle w:val="lev"/>
          <w:color w:val="000000"/>
        </w:rPr>
        <w:t>registre numérique de transparence</w:t>
      </w:r>
      <w:r w:rsidR="00F52A9B" w:rsidRPr="00C35DFA">
        <w:rPr>
          <w:color w:val="000000"/>
        </w:rPr>
        <w:t xml:space="preserve">, administré par la « Haute Autorité pour la Transparence de la Vie Publique » (HATVP), est entré en vigueur le 1er juillet 2017. Les représentants d'intérêts inscrits auprès de ce répertoire doivent </w:t>
      </w:r>
      <w:r>
        <w:rPr>
          <w:color w:val="000000"/>
        </w:rPr>
        <w:t xml:space="preserve">depuis </w:t>
      </w:r>
      <w:r w:rsidR="00F52A9B" w:rsidRPr="00C35DFA">
        <w:rPr>
          <w:color w:val="000000"/>
        </w:rPr>
        <w:t>se soumettre à l'obligation de publication d'un </w:t>
      </w:r>
      <w:r w:rsidR="00F52A9B" w:rsidRPr="00C35DFA">
        <w:rPr>
          <w:rStyle w:val="lev"/>
          <w:color w:val="000000"/>
        </w:rPr>
        <w:t>rapport annuel d'activités</w:t>
      </w:r>
      <w:r w:rsidR="00F52A9B" w:rsidRPr="00C35DFA">
        <w:rPr>
          <w:color w:val="000000"/>
        </w:rPr>
        <w:t> recensant l'ensemble des actions rentrant dans le champ de la loi.</w:t>
      </w:r>
      <w:r w:rsidR="00C35DFA">
        <w:rPr>
          <w:color w:val="000000"/>
        </w:rPr>
        <w:t xml:space="preserve"> </w:t>
      </w:r>
    </w:p>
    <w:p w14:paraId="5EBFD1F6" w14:textId="4E50F65C" w:rsidR="003A436B" w:rsidRDefault="003A436B" w:rsidP="003A436B">
      <w:pPr>
        <w:pStyle w:val="Paragraphedeliste"/>
        <w:shd w:val="clear" w:color="auto" w:fill="FFFFFF"/>
        <w:ind w:left="709"/>
        <w:jc w:val="both"/>
        <w:rPr>
          <w:color w:val="000000"/>
        </w:rPr>
      </w:pPr>
    </w:p>
    <w:p w14:paraId="1307F7AC" w14:textId="434CE8AE" w:rsidR="0079223E" w:rsidRDefault="0079223E" w:rsidP="003A436B">
      <w:pPr>
        <w:pStyle w:val="Paragraphedeliste"/>
        <w:shd w:val="clear" w:color="auto" w:fill="FFFFFF"/>
        <w:ind w:left="709"/>
        <w:jc w:val="both"/>
        <w:rPr>
          <w:color w:val="000000"/>
        </w:rPr>
      </w:pPr>
      <w:r>
        <w:rPr>
          <w:color w:val="000000"/>
        </w:rPr>
        <w:t xml:space="preserve">En conséquence, Société Générale a créé sa fiche en tant que « représentant d’intérêts » sur le registre de la HATVP, et se soumet donc à l’obligation de publier ses activités de représentation d’intérêts dans le cadre du rapport annuel d’activités (toutes ces informations sont disponibles sur le lien ci-dessous). </w:t>
      </w:r>
    </w:p>
    <w:p w14:paraId="78872B02" w14:textId="77777777" w:rsidR="0079223E" w:rsidRDefault="0079223E" w:rsidP="003A436B">
      <w:pPr>
        <w:pStyle w:val="Paragraphedeliste"/>
        <w:shd w:val="clear" w:color="auto" w:fill="FFFFFF"/>
        <w:ind w:left="709"/>
        <w:jc w:val="both"/>
        <w:rPr>
          <w:color w:val="000000"/>
        </w:rPr>
      </w:pPr>
    </w:p>
    <w:p w14:paraId="7DF0676B" w14:textId="23070580" w:rsidR="00C35DFA" w:rsidRDefault="00F93EF9" w:rsidP="003A436B">
      <w:pPr>
        <w:pStyle w:val="Paragraphedeliste"/>
        <w:shd w:val="clear" w:color="auto" w:fill="FFFFFF"/>
        <w:ind w:left="709"/>
        <w:jc w:val="both"/>
        <w:rPr>
          <w:color w:val="000000"/>
        </w:rPr>
      </w:pPr>
      <w:hyperlink r:id="rId13" w:history="1">
        <w:r w:rsidR="00C35DFA" w:rsidRPr="003A436B">
          <w:rPr>
            <w:rStyle w:val="Lienhypertexte"/>
          </w:rPr>
          <w:t>Fiche Société Générale</w:t>
        </w:r>
      </w:hyperlink>
      <w:r w:rsidR="00C35DFA" w:rsidRPr="003A436B">
        <w:rPr>
          <w:color w:val="000000"/>
        </w:rPr>
        <w:t xml:space="preserve"> </w:t>
      </w:r>
    </w:p>
    <w:p w14:paraId="5F6AC2DC" w14:textId="1DC25714" w:rsidR="003A436B" w:rsidRDefault="003A436B" w:rsidP="003A436B">
      <w:pPr>
        <w:pStyle w:val="Paragraphedeliste"/>
        <w:shd w:val="clear" w:color="auto" w:fill="FFFFFF"/>
        <w:ind w:left="709"/>
        <w:jc w:val="both"/>
        <w:rPr>
          <w:color w:val="000000"/>
        </w:rPr>
      </w:pPr>
    </w:p>
    <w:p w14:paraId="20812BE1" w14:textId="03F1F3D7" w:rsidR="00414E35" w:rsidRDefault="00075500" w:rsidP="00414E35">
      <w:pPr>
        <w:pStyle w:val="Paragraphedeliste"/>
        <w:shd w:val="clear" w:color="auto" w:fill="FFFFFF"/>
        <w:ind w:left="709"/>
        <w:jc w:val="both"/>
      </w:pPr>
      <w:r>
        <w:rPr>
          <w:color w:val="000000"/>
        </w:rPr>
        <w:t>En parallèle</w:t>
      </w:r>
      <w:r w:rsidR="003A436B">
        <w:rPr>
          <w:color w:val="000000"/>
        </w:rPr>
        <w:t>, cette loi impose</w:t>
      </w:r>
      <w:r w:rsidR="003A436B" w:rsidRPr="00C35DFA">
        <w:rPr>
          <w:color w:val="000000"/>
        </w:rPr>
        <w:t xml:space="preserve"> aux représentants d'intérêts d'exercer leur activité « avec probité et intégrité », ainsi que dans le respect d'un certain nombre d'</w:t>
      </w:r>
      <w:r w:rsidR="003A436B" w:rsidRPr="00C35DFA">
        <w:rPr>
          <w:rStyle w:val="lev"/>
          <w:color w:val="000000"/>
        </w:rPr>
        <w:t>obligations déontologiques</w:t>
      </w:r>
      <w:r w:rsidR="00414E35">
        <w:rPr>
          <w:rStyle w:val="lev"/>
          <w:color w:val="000000"/>
        </w:rPr>
        <w:t xml:space="preserve"> dont le non-respect est pénalement sanctionné.</w:t>
      </w:r>
      <w:r w:rsidR="003A436B" w:rsidRPr="00414E35">
        <w:rPr>
          <w:rStyle w:val="lev"/>
          <w:b w:val="0"/>
          <w:color w:val="000000"/>
        </w:rPr>
        <w:t xml:space="preserve"> </w:t>
      </w:r>
      <w:r w:rsidR="00414E35" w:rsidRPr="00414E35">
        <w:rPr>
          <w:rStyle w:val="lev"/>
          <w:b w:val="0"/>
          <w:color w:val="000000"/>
        </w:rPr>
        <w:t>Les</w:t>
      </w:r>
      <w:r w:rsidR="00414E35">
        <w:rPr>
          <w:rStyle w:val="lev"/>
          <w:color w:val="000000"/>
        </w:rPr>
        <w:t xml:space="preserve"> </w:t>
      </w:r>
      <w:r w:rsidR="00895A6E">
        <w:t xml:space="preserve">représentants d’intérêts sont tenus de : </w:t>
      </w:r>
    </w:p>
    <w:p w14:paraId="5DC450A7" w14:textId="77777777" w:rsidR="00414E35" w:rsidRDefault="00414E35" w:rsidP="00414E35">
      <w:pPr>
        <w:pStyle w:val="Paragraphedeliste"/>
        <w:shd w:val="clear" w:color="auto" w:fill="FFFFFF"/>
        <w:ind w:left="709"/>
        <w:jc w:val="both"/>
      </w:pPr>
    </w:p>
    <w:p w14:paraId="29BBBD78" w14:textId="77777777" w:rsidR="00414E35" w:rsidRDefault="00895A6E" w:rsidP="00414E35">
      <w:pPr>
        <w:pStyle w:val="Paragraphedeliste"/>
        <w:numPr>
          <w:ilvl w:val="0"/>
          <w:numId w:val="29"/>
        </w:numPr>
        <w:shd w:val="clear" w:color="auto" w:fill="FFFFFF"/>
        <w:jc w:val="both"/>
      </w:pPr>
      <w:r>
        <w:t xml:space="preserve">déclarer leur identité, l'organisme pour lequel ils travaillent et les intérêts ou entités qu'ils représentent dans leurs relations avec les décideurs publics, à l’exception des députés, des sénateurs et de leurs collaborateurs ; </w:t>
      </w:r>
    </w:p>
    <w:p w14:paraId="08E6FA90" w14:textId="77777777" w:rsidR="00414E35" w:rsidRDefault="00895A6E" w:rsidP="00414E35">
      <w:pPr>
        <w:pStyle w:val="Paragraphedeliste"/>
        <w:numPr>
          <w:ilvl w:val="0"/>
          <w:numId w:val="29"/>
        </w:numPr>
        <w:shd w:val="clear" w:color="auto" w:fill="FFFFFF"/>
        <w:jc w:val="both"/>
      </w:pPr>
      <w:r>
        <w:t xml:space="preserve">s'abstenir de proposer ou de remettre à ces personnes des présents, dons ou avantages quelconques d'une valeur significative : </w:t>
      </w:r>
    </w:p>
    <w:p w14:paraId="3664DD14" w14:textId="77777777" w:rsidR="00414E35" w:rsidRDefault="00895A6E" w:rsidP="00414E35">
      <w:pPr>
        <w:pStyle w:val="Paragraphedeliste"/>
        <w:numPr>
          <w:ilvl w:val="0"/>
          <w:numId w:val="29"/>
        </w:numPr>
        <w:shd w:val="clear" w:color="auto" w:fill="FFFFFF"/>
        <w:jc w:val="both"/>
      </w:pPr>
      <w:r>
        <w:t xml:space="preserve">le Groupe retient un seuil de 150 euros de dépenses par an pour une personne pour définir la valeur significative ». Afin d’assurer le bon respect de ce seuil, chaque dépense doit faire l’objet d’un accord préalable de la Direction de la Compliance. Si </w:t>
      </w:r>
      <w:r>
        <w:lastRenderedPageBreak/>
        <w:t xml:space="preserve">des questions relatives à une décision publique française sont abordées lors de cette rencontre, celles-ci doivent être recensées dans l’outil interne IRIS ; </w:t>
      </w:r>
    </w:p>
    <w:p w14:paraId="07EA5F11" w14:textId="77777777" w:rsidR="00414E35" w:rsidRDefault="00895A6E" w:rsidP="00414E35">
      <w:pPr>
        <w:pStyle w:val="Paragraphedeliste"/>
        <w:numPr>
          <w:ilvl w:val="0"/>
          <w:numId w:val="29"/>
        </w:numPr>
        <w:shd w:val="clear" w:color="auto" w:fill="FFFFFF"/>
        <w:jc w:val="both"/>
      </w:pPr>
      <w:r>
        <w:t xml:space="preserve">s'abstenir de toute incitation à l'égard de ces personnes à enfreindre les règles déontologiques qui leur sont applicables ; </w:t>
      </w:r>
    </w:p>
    <w:p w14:paraId="27F873F4" w14:textId="77777777" w:rsidR="00414E35" w:rsidRDefault="00895A6E" w:rsidP="00414E35">
      <w:pPr>
        <w:pStyle w:val="Paragraphedeliste"/>
        <w:numPr>
          <w:ilvl w:val="0"/>
          <w:numId w:val="29"/>
        </w:numPr>
        <w:shd w:val="clear" w:color="auto" w:fill="FFFFFF"/>
        <w:jc w:val="both"/>
      </w:pPr>
      <w:r>
        <w:t xml:space="preserve">s'abstenir de toute démarche auprès de ces personnes en vue d'obtenir des informations ou des décisions par des moyens frauduleux ; </w:t>
      </w:r>
    </w:p>
    <w:p w14:paraId="66263329" w14:textId="77777777" w:rsidR="00414E35" w:rsidRDefault="00895A6E" w:rsidP="00414E35">
      <w:pPr>
        <w:pStyle w:val="Paragraphedeliste"/>
        <w:numPr>
          <w:ilvl w:val="0"/>
          <w:numId w:val="29"/>
        </w:numPr>
        <w:shd w:val="clear" w:color="auto" w:fill="FFFFFF"/>
        <w:jc w:val="both"/>
      </w:pPr>
      <w:r>
        <w:t xml:space="preserve">s'abstenir d'obtenir ou d'essayer d'obtenir des informations ou décisions en communiquant délibérément à ces personnes des informations erronées ou en recourant à des manœuvres destinées à les tromper ; </w:t>
      </w:r>
    </w:p>
    <w:p w14:paraId="6686DE15" w14:textId="77777777" w:rsidR="00414E35" w:rsidRDefault="00895A6E" w:rsidP="00414E35">
      <w:pPr>
        <w:pStyle w:val="Paragraphedeliste"/>
        <w:numPr>
          <w:ilvl w:val="0"/>
          <w:numId w:val="29"/>
        </w:numPr>
        <w:shd w:val="clear" w:color="auto" w:fill="FFFFFF"/>
        <w:jc w:val="both"/>
      </w:pPr>
      <w:r>
        <w:t xml:space="preserve">s'abstenir d'organiser des colloques, manifestations ou réunions, dans lesquels les modalités de prise de parole par les décideurs publics sont liées au versement d'une rémunération sous quelque forme que ce soit ; </w:t>
      </w:r>
    </w:p>
    <w:p w14:paraId="5C43B75F" w14:textId="77777777" w:rsidR="00414E35" w:rsidRDefault="00895A6E" w:rsidP="00414E35">
      <w:pPr>
        <w:pStyle w:val="Paragraphedeliste"/>
        <w:numPr>
          <w:ilvl w:val="0"/>
          <w:numId w:val="29"/>
        </w:numPr>
        <w:shd w:val="clear" w:color="auto" w:fill="FFFFFF"/>
        <w:jc w:val="both"/>
      </w:pPr>
      <w:r>
        <w:t>s'abstenir d'utiliser, à des fins commerciales ou publicitaires, les informations obtenues auprès de décideurs pu</w:t>
      </w:r>
      <w:r w:rsidR="00414E35">
        <w:t xml:space="preserve">blics ; </w:t>
      </w:r>
    </w:p>
    <w:p w14:paraId="7071D40A" w14:textId="77777777" w:rsidR="00414E35" w:rsidRDefault="00895A6E" w:rsidP="00414E35">
      <w:pPr>
        <w:pStyle w:val="Paragraphedeliste"/>
        <w:numPr>
          <w:ilvl w:val="0"/>
          <w:numId w:val="29"/>
        </w:numPr>
        <w:shd w:val="clear" w:color="auto" w:fill="FFFFFF"/>
        <w:jc w:val="both"/>
      </w:pPr>
      <w:r>
        <w:t>s'abstenir de vendre à des tiers des copies de documents provenant du Gouvernement, d'une autorité administrative ou publique indépendante ou d'utiliser du papier à en-tête ainsi que le logo de ces autorités publiques et de ces organes administratifs ;</w:t>
      </w:r>
    </w:p>
    <w:p w14:paraId="5C98A50C" w14:textId="3AD0999C" w:rsidR="00895A6E" w:rsidRDefault="00895A6E" w:rsidP="00414E35">
      <w:pPr>
        <w:pStyle w:val="Paragraphedeliste"/>
        <w:numPr>
          <w:ilvl w:val="0"/>
          <w:numId w:val="29"/>
        </w:numPr>
        <w:shd w:val="clear" w:color="auto" w:fill="FFFFFF"/>
        <w:jc w:val="both"/>
      </w:pPr>
      <w:r>
        <w:t>s'attacher à respecter l'ensemble de ces règles déontologiques dans leurs rapports avec l'entourage direct de décideurs publics.</w:t>
      </w:r>
    </w:p>
    <w:p w14:paraId="3AF2071B" w14:textId="58776808" w:rsidR="00E0256B" w:rsidRDefault="00E0256B" w:rsidP="006C039F">
      <w:pPr>
        <w:shd w:val="clear" w:color="auto" w:fill="FFFFFF"/>
        <w:jc w:val="both"/>
        <w:rPr>
          <w:rStyle w:val="lev"/>
          <w:b w:val="0"/>
          <w:bCs w:val="0"/>
        </w:rPr>
      </w:pPr>
    </w:p>
    <w:p w14:paraId="7D34942E" w14:textId="77777777" w:rsidR="00F93EF9" w:rsidRDefault="00B21DE8" w:rsidP="00F93EF9">
      <w:pPr>
        <w:shd w:val="clear" w:color="auto" w:fill="FFFFFF"/>
        <w:spacing w:after="150"/>
        <w:ind w:left="567"/>
        <w:jc w:val="both"/>
        <w:rPr>
          <w:bCs/>
          <w:color w:val="000000"/>
          <w:lang w:eastAsia="fr-FR"/>
        </w:rPr>
      </w:pPr>
      <w:r>
        <w:rPr>
          <w:color w:val="000000"/>
          <w:lang w:eastAsia="fr-FR"/>
        </w:rPr>
        <w:t xml:space="preserve">Par ailleurs, le Groupe s'engage à exercer ses activités avec la plus grande intégrité et transparence et à se conformer aux lois et règlements en vigueur dans tous les pays dans lesquels il opère, notamment en ce qui concerne </w:t>
      </w:r>
      <w:r>
        <w:rPr>
          <w:b/>
          <w:bCs/>
          <w:color w:val="000000"/>
          <w:lang w:eastAsia="fr-FR"/>
        </w:rPr>
        <w:t>l'offre et la réception de Cadeaux, et l'organisation ou la participation aux Repas d'affaires ou Evénements externes dans le cadre de ses activités professionnelles en lien avec des Relations d'affaires</w:t>
      </w:r>
      <w:r w:rsidR="00E42CF9">
        <w:rPr>
          <w:bCs/>
          <w:color w:val="000000"/>
          <w:lang w:eastAsia="fr-FR"/>
        </w:rPr>
        <w:t>.</w:t>
      </w:r>
    </w:p>
    <w:p w14:paraId="559A5567" w14:textId="516079FC" w:rsidR="00F93EF9" w:rsidRPr="00F93EF9" w:rsidRDefault="000244F1" w:rsidP="00F93EF9">
      <w:pPr>
        <w:shd w:val="clear" w:color="auto" w:fill="FFFFFF"/>
        <w:spacing w:after="150"/>
        <w:ind w:left="567"/>
        <w:jc w:val="both"/>
        <w:rPr>
          <w:rStyle w:val="lev"/>
          <w:b w:val="0"/>
          <w:color w:val="000000"/>
          <w:lang w:eastAsia="fr-FR"/>
        </w:rPr>
      </w:pPr>
      <w:r>
        <w:rPr>
          <w:bCs/>
          <w:color w:val="000000"/>
          <w:lang w:eastAsia="fr-FR"/>
        </w:rPr>
        <w:t>Indépendamment</w:t>
      </w:r>
      <w:r w:rsidR="00075500">
        <w:rPr>
          <w:bCs/>
          <w:color w:val="000000"/>
          <w:lang w:eastAsia="fr-FR"/>
        </w:rPr>
        <w:t xml:space="preserve"> de la section du code Groupe dédié à la représentation d’intérêts, celui-ci dévoue une autre section pour exposer les principes / les règles en matière d’offre et de réception de cadeaux. </w:t>
      </w:r>
      <w:r w:rsidR="00B21DE8">
        <w:rPr>
          <w:color w:val="000000"/>
          <w:lang w:eastAsia="fr-FR"/>
        </w:rPr>
        <w:t xml:space="preserve">Une attention particulière doit être portée dans les cas où ces événements impliquent des personnes publiques et/ou des personnes politiquement exposées (PPE). </w:t>
      </w:r>
    </w:p>
    <w:p w14:paraId="0718506B" w14:textId="77777777" w:rsidR="00075500" w:rsidRPr="009B4070" w:rsidRDefault="00075500" w:rsidP="009B4070">
      <w:pPr>
        <w:pStyle w:val="Paragraphedeliste"/>
        <w:shd w:val="clear" w:color="auto" w:fill="FFFFFF"/>
        <w:ind w:left="709"/>
        <w:jc w:val="both"/>
        <w:rPr>
          <w:rStyle w:val="lev"/>
          <w:color w:val="000000"/>
        </w:rPr>
      </w:pPr>
    </w:p>
    <w:p w14:paraId="6D92861A" w14:textId="2B42317F" w:rsidR="009B4070" w:rsidRPr="00214BC7" w:rsidRDefault="009B4070" w:rsidP="00214BC7">
      <w:pPr>
        <w:jc w:val="both"/>
        <w:rPr>
          <w:b/>
          <w:color w:val="C00000"/>
          <w:sz w:val="24"/>
        </w:rPr>
      </w:pPr>
      <w:r w:rsidRPr="00214BC7">
        <w:rPr>
          <w:b/>
          <w:color w:val="C00000"/>
          <w:sz w:val="24"/>
        </w:rPr>
        <w:t>SECTIO</w:t>
      </w:r>
      <w:r w:rsidR="00E0256B" w:rsidRPr="00214BC7">
        <w:rPr>
          <w:b/>
          <w:color w:val="C00000"/>
          <w:sz w:val="24"/>
        </w:rPr>
        <w:t xml:space="preserve">N 2. NOTRE DISPOSITIF DE GOUVERNANCE ET DE MAITRISE DES RISQUES </w:t>
      </w:r>
    </w:p>
    <w:p w14:paraId="2B4EB35E" w14:textId="77777777" w:rsidR="00214BC7" w:rsidRPr="003A436B" w:rsidRDefault="00214BC7" w:rsidP="003A436B">
      <w:pPr>
        <w:shd w:val="clear" w:color="auto" w:fill="FFFFFF"/>
        <w:jc w:val="both"/>
        <w:rPr>
          <w:b/>
          <w:color w:val="000000"/>
          <w:lang w:eastAsia="fr-FR"/>
        </w:rPr>
      </w:pPr>
    </w:p>
    <w:p w14:paraId="653C0617" w14:textId="41F03143" w:rsidR="00E0256B" w:rsidRPr="00E0256B" w:rsidRDefault="00E0256B" w:rsidP="00E13998">
      <w:pPr>
        <w:pStyle w:val="Paragraphedeliste"/>
        <w:numPr>
          <w:ilvl w:val="0"/>
          <w:numId w:val="32"/>
        </w:numPr>
        <w:shd w:val="clear" w:color="auto" w:fill="FFFFFF"/>
        <w:spacing w:after="150"/>
        <w:ind w:left="426" w:hanging="426"/>
        <w:jc w:val="both"/>
        <w:rPr>
          <w:b/>
          <w:color w:val="000000"/>
          <w:lang w:eastAsia="fr-FR"/>
        </w:rPr>
      </w:pPr>
      <w:r w:rsidRPr="00E0256B">
        <w:rPr>
          <w:b/>
          <w:color w:val="000000"/>
          <w:lang w:eastAsia="fr-FR"/>
        </w:rPr>
        <w:t>GOUVERNANCE</w:t>
      </w:r>
    </w:p>
    <w:p w14:paraId="1E82DA4D" w14:textId="77777777" w:rsidR="006C039F" w:rsidRDefault="00E0256B" w:rsidP="006C039F">
      <w:pPr>
        <w:numPr>
          <w:ilvl w:val="0"/>
          <w:numId w:val="2"/>
        </w:numPr>
        <w:shd w:val="clear" w:color="auto" w:fill="FFFFFF"/>
        <w:spacing w:after="150"/>
        <w:ind w:left="426" w:hanging="426"/>
        <w:jc w:val="both"/>
        <w:rPr>
          <w:color w:val="000000"/>
          <w:lang w:eastAsia="fr-FR"/>
        </w:rPr>
      </w:pPr>
      <w:r>
        <w:rPr>
          <w:color w:val="000000"/>
          <w:lang w:eastAsia="fr-FR"/>
        </w:rPr>
        <w:t xml:space="preserve">Afin de faire connaître puis respecter ces obligations par nos collaborateurs, l’ensemble de ces obligations ont directement été intégrées dans notre </w:t>
      </w:r>
      <w:r w:rsidRPr="00601E2F">
        <w:rPr>
          <w:b/>
          <w:color w:val="000000"/>
          <w:lang w:eastAsia="fr-FR"/>
        </w:rPr>
        <w:t>Code Société Générale</w:t>
      </w:r>
      <w:r>
        <w:rPr>
          <w:color w:val="000000"/>
          <w:lang w:eastAsia="fr-FR"/>
        </w:rPr>
        <w:t xml:space="preserve">, qui consacre une section relative aux « relations des représentants d’intérêts avec les autorités publiques ». </w:t>
      </w:r>
      <w:r w:rsidR="00601E2F">
        <w:rPr>
          <w:color w:val="000000"/>
        </w:rPr>
        <w:t>Celles-ci</w:t>
      </w:r>
      <w:r w:rsidR="00E01AE0" w:rsidRPr="00E0256B">
        <w:rPr>
          <w:color w:val="000000"/>
        </w:rPr>
        <w:t xml:space="preserve"> s'applique</w:t>
      </w:r>
      <w:r w:rsidR="00601E2F">
        <w:rPr>
          <w:color w:val="000000"/>
        </w:rPr>
        <w:t xml:space="preserve">nt </w:t>
      </w:r>
      <w:r w:rsidR="00E01AE0" w:rsidRPr="00E0256B">
        <w:rPr>
          <w:color w:val="000000"/>
        </w:rPr>
        <w:t>à l'ensemble du Groupe, y compris ses filiales et succursales en France à l'étranger, et donc à tous ses collaborateurs amenés à entreprendre une démarc</w:t>
      </w:r>
      <w:r w:rsidR="00601E2F">
        <w:rPr>
          <w:color w:val="000000"/>
        </w:rPr>
        <w:t>he de représentation d'intérêts</w:t>
      </w:r>
      <w:r w:rsidR="00E01AE0" w:rsidRPr="00E0256B">
        <w:rPr>
          <w:color w:val="000000"/>
        </w:rPr>
        <w:t xml:space="preserve">. </w:t>
      </w:r>
    </w:p>
    <w:p w14:paraId="5646804F" w14:textId="7E5F0655" w:rsidR="00E0256B" w:rsidRPr="006C039F" w:rsidRDefault="00E0256B" w:rsidP="006C039F">
      <w:pPr>
        <w:numPr>
          <w:ilvl w:val="0"/>
          <w:numId w:val="2"/>
        </w:numPr>
        <w:shd w:val="clear" w:color="auto" w:fill="FFFFFF"/>
        <w:spacing w:after="150"/>
        <w:ind w:left="426" w:hanging="426"/>
        <w:jc w:val="both"/>
        <w:rPr>
          <w:color w:val="000000"/>
          <w:lang w:eastAsia="fr-FR"/>
        </w:rPr>
      </w:pPr>
      <w:r w:rsidRPr="006C039F">
        <w:rPr>
          <w:color w:val="000000"/>
        </w:rPr>
        <w:t>Afin de re</w:t>
      </w:r>
      <w:r w:rsidR="00601E2F" w:rsidRPr="006C039F">
        <w:rPr>
          <w:color w:val="000000"/>
        </w:rPr>
        <w:t>specter</w:t>
      </w:r>
      <w:r w:rsidRPr="006C039F">
        <w:rPr>
          <w:color w:val="000000"/>
        </w:rPr>
        <w:t xml:space="preserve"> l'ensemble de ces obligations, </w:t>
      </w:r>
      <w:r w:rsidRPr="006C039F">
        <w:rPr>
          <w:b/>
          <w:color w:val="000000"/>
        </w:rPr>
        <w:t>différents rôles et responsabilités ont été définis</w:t>
      </w:r>
      <w:r w:rsidRPr="006C039F">
        <w:rPr>
          <w:color w:val="000000"/>
        </w:rPr>
        <w:t xml:space="preserve"> au sein du Groupe :</w:t>
      </w:r>
    </w:p>
    <w:p w14:paraId="3E93486A" w14:textId="6A439283" w:rsidR="00F52A9B" w:rsidRDefault="00F52A9B" w:rsidP="00E0256B">
      <w:pPr>
        <w:numPr>
          <w:ilvl w:val="0"/>
          <w:numId w:val="30"/>
        </w:numPr>
        <w:shd w:val="clear" w:color="auto" w:fill="FFFFFF"/>
        <w:ind w:left="786"/>
        <w:jc w:val="both"/>
        <w:rPr>
          <w:color w:val="000000"/>
        </w:rPr>
      </w:pPr>
      <w:r>
        <w:rPr>
          <w:color w:val="000000"/>
        </w:rPr>
        <w:t>Le </w:t>
      </w:r>
      <w:r>
        <w:rPr>
          <w:rStyle w:val="lev"/>
          <w:color w:val="000000"/>
        </w:rPr>
        <w:t>responsable de BU/SU</w:t>
      </w:r>
      <w:r>
        <w:rPr>
          <w:color w:val="000000"/>
        </w:rPr>
        <w:t xml:space="preserve">, qui est responsable de toutes les démarches de représentation d'intérêts entreprises au sein de sa </w:t>
      </w:r>
      <w:r w:rsidR="00E0256B">
        <w:rPr>
          <w:color w:val="000000"/>
        </w:rPr>
        <w:t>Business Unit / Service Unit</w:t>
      </w:r>
      <w:r>
        <w:rPr>
          <w:color w:val="000000"/>
        </w:rPr>
        <w:t xml:space="preserve"> </w:t>
      </w:r>
      <w:r w:rsidR="00E0256B">
        <w:rPr>
          <w:color w:val="000000"/>
        </w:rPr>
        <w:t>– BU / SU –</w:t>
      </w:r>
      <w:r w:rsidR="001819DB">
        <w:rPr>
          <w:color w:val="000000"/>
        </w:rPr>
        <w:t xml:space="preserve"> au niveau mondial</w:t>
      </w:r>
      <w:r w:rsidR="00E0256B">
        <w:rPr>
          <w:color w:val="000000"/>
        </w:rPr>
        <w:t xml:space="preserve"> </w:t>
      </w:r>
      <w:r>
        <w:rPr>
          <w:color w:val="000000"/>
        </w:rPr>
        <w:t>(y compris des filiales, succursales ou bureaux de représentation qui lui sont rattachés), doit veiller au respect de l'ensemble des obligations mentionnées ci-dessus. Le Directeur Général et les Directeurs généraux Délégués doivent y veiller pour eux-mêmes.</w:t>
      </w:r>
    </w:p>
    <w:p w14:paraId="334DE0C0" w14:textId="77777777" w:rsidR="00F52A9B" w:rsidRDefault="00F52A9B" w:rsidP="00E0256B">
      <w:pPr>
        <w:shd w:val="clear" w:color="auto" w:fill="FFFFFF"/>
        <w:ind w:left="852"/>
        <w:jc w:val="both"/>
        <w:rPr>
          <w:color w:val="000000"/>
        </w:rPr>
      </w:pPr>
    </w:p>
    <w:p w14:paraId="4DB40236" w14:textId="030344D0" w:rsidR="00F52A9B" w:rsidRDefault="00F52A9B" w:rsidP="00E0256B">
      <w:pPr>
        <w:numPr>
          <w:ilvl w:val="0"/>
          <w:numId w:val="30"/>
        </w:numPr>
        <w:shd w:val="clear" w:color="auto" w:fill="FFFFFF"/>
        <w:ind w:left="786"/>
        <w:jc w:val="both"/>
        <w:rPr>
          <w:color w:val="000000"/>
        </w:rPr>
      </w:pPr>
      <w:r>
        <w:rPr>
          <w:color w:val="000000"/>
        </w:rPr>
        <w:t>Le </w:t>
      </w:r>
      <w:r>
        <w:rPr>
          <w:rStyle w:val="lev"/>
          <w:color w:val="000000"/>
        </w:rPr>
        <w:t>« correspondant représentation d'intérêts »</w:t>
      </w:r>
      <w:r>
        <w:rPr>
          <w:color w:val="000000"/>
        </w:rPr>
        <w:t>, relais administratif de la Direction des Affaires Publiques, est responsable de la collecte de toute activité de représentation d'intérêts entreprise au sein de la BU/SU à laquelle il est rattaché, qu'il renseigne via </w:t>
      </w:r>
      <w:r w:rsidR="00E0256B">
        <w:rPr>
          <w:color w:val="000000"/>
        </w:rPr>
        <w:t xml:space="preserve">un </w:t>
      </w:r>
      <w:r w:rsidR="00E0256B" w:rsidRPr="00E0256B">
        <w:rPr>
          <w:b/>
          <w:color w:val="000000"/>
        </w:rPr>
        <w:t>outil interne de reporting dédié, appelé « IRIS »</w:t>
      </w:r>
      <w:r>
        <w:rPr>
          <w:color w:val="000000"/>
        </w:rPr>
        <w:t xml:space="preserve">. Pour </w:t>
      </w:r>
      <w:r w:rsidR="00E42CF9">
        <w:rPr>
          <w:color w:val="000000"/>
        </w:rPr>
        <w:t>la Direction générale et le Secrétariat général</w:t>
      </w:r>
      <w:r>
        <w:rPr>
          <w:color w:val="000000"/>
        </w:rPr>
        <w:t>, ce rôle est assuré par le responsable des Affaires Publiques Groupe.</w:t>
      </w:r>
    </w:p>
    <w:p w14:paraId="0DC5B101" w14:textId="77777777" w:rsidR="00F52A9B" w:rsidRDefault="00F52A9B" w:rsidP="00E0256B">
      <w:pPr>
        <w:shd w:val="clear" w:color="auto" w:fill="FFFFFF"/>
        <w:ind w:left="852"/>
        <w:rPr>
          <w:color w:val="000000"/>
        </w:rPr>
      </w:pPr>
    </w:p>
    <w:p w14:paraId="74242F9A" w14:textId="77777777" w:rsidR="00F52A9B" w:rsidRDefault="00F52A9B" w:rsidP="00E0256B">
      <w:pPr>
        <w:numPr>
          <w:ilvl w:val="0"/>
          <w:numId w:val="30"/>
        </w:numPr>
        <w:shd w:val="clear" w:color="auto" w:fill="FFFFFF"/>
        <w:ind w:left="786"/>
        <w:rPr>
          <w:color w:val="000000"/>
        </w:rPr>
      </w:pPr>
      <w:r>
        <w:rPr>
          <w:color w:val="000000"/>
        </w:rPr>
        <w:lastRenderedPageBreak/>
        <w:t>Le </w:t>
      </w:r>
      <w:r>
        <w:rPr>
          <w:rStyle w:val="lev"/>
          <w:color w:val="000000"/>
        </w:rPr>
        <w:t>responsable des Affaires Publiques Groupe</w:t>
      </w:r>
      <w:r>
        <w:rPr>
          <w:color w:val="000000"/>
        </w:rPr>
        <w:t> :</w:t>
      </w:r>
    </w:p>
    <w:p w14:paraId="2B4328A6" w14:textId="77777777" w:rsidR="00F52A9B" w:rsidRDefault="00F52A9B" w:rsidP="00E0256B">
      <w:pPr>
        <w:shd w:val="clear" w:color="auto" w:fill="FFFFFF"/>
        <w:ind w:left="852"/>
        <w:rPr>
          <w:color w:val="000000"/>
        </w:rPr>
      </w:pPr>
    </w:p>
    <w:p w14:paraId="4A7B2BF7" w14:textId="4AA3975E" w:rsidR="00F52A9B" w:rsidRDefault="00F52A9B" w:rsidP="00E0256B">
      <w:pPr>
        <w:numPr>
          <w:ilvl w:val="1"/>
          <w:numId w:val="31"/>
        </w:numPr>
        <w:shd w:val="clear" w:color="auto" w:fill="FFFFFF"/>
        <w:ind w:left="1134"/>
        <w:jc w:val="both"/>
        <w:rPr>
          <w:color w:val="000000"/>
        </w:rPr>
      </w:pPr>
      <w:r>
        <w:rPr>
          <w:color w:val="000000"/>
        </w:rPr>
        <w:t>veille au bon respect de l'ensemble des obligations du Groupe et assure, pour le Groupe, la relation avec les autorités concernées (Commission européenne, Parlement européen, HATVP, Sénat).</w:t>
      </w:r>
    </w:p>
    <w:p w14:paraId="72527D64" w14:textId="1FBE65EC" w:rsidR="00F52A9B" w:rsidRDefault="00F52A9B" w:rsidP="00E0256B">
      <w:pPr>
        <w:numPr>
          <w:ilvl w:val="1"/>
          <w:numId w:val="31"/>
        </w:numPr>
        <w:shd w:val="clear" w:color="auto" w:fill="FFFFFF"/>
        <w:ind w:left="1134"/>
        <w:jc w:val="both"/>
        <w:rPr>
          <w:color w:val="000000"/>
        </w:rPr>
      </w:pPr>
      <w:r>
        <w:rPr>
          <w:color w:val="000000"/>
        </w:rPr>
        <w:t xml:space="preserve">met à disposition des personnes exerçant une activité de représentation d'intérêts un guide pratique (Q&amp;A) </w:t>
      </w:r>
      <w:r w:rsidR="009D6332">
        <w:rPr>
          <w:color w:val="000000"/>
        </w:rPr>
        <w:t xml:space="preserve">à usage interne, </w:t>
      </w:r>
      <w:r>
        <w:rPr>
          <w:color w:val="000000"/>
        </w:rPr>
        <w:t xml:space="preserve">destiné à éclairer les personnes exerçant une activité de représentation d'intérêts dans le recensement des actions qu'ils entreprennent dans le cadre de la loi Sapin II. En complément, il peut également </w:t>
      </w:r>
      <w:r w:rsidR="00E0256B">
        <w:rPr>
          <w:color w:val="000000"/>
        </w:rPr>
        <w:t>communiquer les</w:t>
      </w:r>
      <w:r>
        <w:rPr>
          <w:color w:val="000000"/>
        </w:rPr>
        <w:t> </w:t>
      </w:r>
      <w:hyperlink r:id="rId14" w:history="1">
        <w:r w:rsidRPr="00D42C70">
          <w:rPr>
            <w:rStyle w:val="Lienhypertexte"/>
          </w:rPr>
          <w:t>lignes directrices publiées par la HATVP </w:t>
        </w:r>
      </w:hyperlink>
      <w:r>
        <w:rPr>
          <w:color w:val="000000"/>
        </w:rPr>
        <w:t>(octobre 2018).</w:t>
      </w:r>
    </w:p>
    <w:p w14:paraId="61A15D49" w14:textId="77777777" w:rsidR="00F52A9B" w:rsidRDefault="00F52A9B" w:rsidP="00E0256B">
      <w:pPr>
        <w:shd w:val="clear" w:color="auto" w:fill="FFFFFF"/>
        <w:ind w:left="1788"/>
        <w:rPr>
          <w:color w:val="000000"/>
        </w:rPr>
      </w:pPr>
    </w:p>
    <w:p w14:paraId="27A754BD" w14:textId="2C8959F6" w:rsidR="00E13998" w:rsidRDefault="009B4070" w:rsidP="00C919CC">
      <w:pPr>
        <w:numPr>
          <w:ilvl w:val="0"/>
          <w:numId w:val="10"/>
        </w:numPr>
        <w:shd w:val="clear" w:color="auto" w:fill="FFFFFF"/>
        <w:tabs>
          <w:tab w:val="clear" w:pos="720"/>
          <w:tab w:val="num" w:pos="-348"/>
        </w:tabs>
        <w:ind w:left="360"/>
        <w:jc w:val="both"/>
        <w:rPr>
          <w:color w:val="000000"/>
        </w:rPr>
      </w:pPr>
      <w:r w:rsidRPr="00E13998">
        <w:rPr>
          <w:color w:val="000000"/>
        </w:rPr>
        <w:t>Pour toute</w:t>
      </w:r>
      <w:r w:rsidR="00F52A9B" w:rsidRPr="00E13998">
        <w:rPr>
          <w:color w:val="000000"/>
        </w:rPr>
        <w:t xml:space="preserve"> question d'interprétation sur ces différentes obligations, </w:t>
      </w:r>
      <w:r w:rsidR="00F52A9B" w:rsidRPr="00E13998">
        <w:rPr>
          <w:b/>
          <w:bCs/>
          <w:color w:val="000000"/>
        </w:rPr>
        <w:t>une adresse générique a été mise en place</w:t>
      </w:r>
      <w:r w:rsidR="00E13998">
        <w:rPr>
          <w:b/>
          <w:bCs/>
          <w:color w:val="000000"/>
        </w:rPr>
        <w:t>, directement gérée par les Affaires Publiques Groupe</w:t>
      </w:r>
      <w:r w:rsidR="00E0256B" w:rsidRPr="00E13998">
        <w:rPr>
          <w:color w:val="000000"/>
        </w:rPr>
        <w:t xml:space="preserve">. </w:t>
      </w:r>
    </w:p>
    <w:p w14:paraId="71B26AEA" w14:textId="04777A98" w:rsidR="00E13998" w:rsidRPr="00E0256B" w:rsidRDefault="00E13998" w:rsidP="002768E8">
      <w:pPr>
        <w:shd w:val="clear" w:color="auto" w:fill="FFFFFF"/>
        <w:spacing w:after="150"/>
        <w:jc w:val="both"/>
        <w:rPr>
          <w:color w:val="000000"/>
          <w:lang w:eastAsia="fr-FR"/>
        </w:rPr>
      </w:pPr>
    </w:p>
    <w:p w14:paraId="7709BF6E" w14:textId="2BCC2DD5" w:rsidR="00E0256B" w:rsidRPr="00E0256B" w:rsidRDefault="00E0256B" w:rsidP="00E13998">
      <w:pPr>
        <w:pStyle w:val="Paragraphedeliste"/>
        <w:numPr>
          <w:ilvl w:val="0"/>
          <w:numId w:val="32"/>
        </w:numPr>
        <w:shd w:val="clear" w:color="auto" w:fill="FFFFFF"/>
        <w:spacing w:after="150"/>
        <w:ind w:left="426" w:hanging="426"/>
        <w:jc w:val="both"/>
        <w:rPr>
          <w:b/>
          <w:color w:val="000000"/>
          <w:lang w:eastAsia="fr-FR"/>
        </w:rPr>
      </w:pPr>
      <w:r w:rsidRPr="00E0256B">
        <w:rPr>
          <w:b/>
          <w:color w:val="000000"/>
          <w:lang w:eastAsia="fr-FR"/>
        </w:rPr>
        <w:t xml:space="preserve">DISPOSITIF DE MAITRISE DES RISQUES </w:t>
      </w:r>
    </w:p>
    <w:p w14:paraId="1F05A305" w14:textId="5D1CFF6B" w:rsidR="002768E8" w:rsidRDefault="002768E8" w:rsidP="002B6F2E">
      <w:pPr>
        <w:pStyle w:val="Paragraphedeliste"/>
        <w:numPr>
          <w:ilvl w:val="0"/>
          <w:numId w:val="33"/>
        </w:numPr>
        <w:shd w:val="clear" w:color="auto" w:fill="FFFFFF"/>
        <w:spacing w:after="150"/>
        <w:ind w:left="426" w:hanging="426"/>
        <w:jc w:val="both"/>
        <w:rPr>
          <w:color w:val="000000"/>
          <w:lang w:eastAsia="fr-FR"/>
        </w:rPr>
      </w:pPr>
      <w:r>
        <w:rPr>
          <w:color w:val="000000"/>
          <w:lang w:eastAsia="fr-FR"/>
        </w:rPr>
        <w:t xml:space="preserve">La mise en place d’un </w:t>
      </w:r>
      <w:r w:rsidRPr="00E13998">
        <w:rPr>
          <w:b/>
          <w:color w:val="000000"/>
          <w:lang w:eastAsia="fr-FR"/>
        </w:rPr>
        <w:t>dispositif de contrôle interne</w:t>
      </w:r>
      <w:r>
        <w:rPr>
          <w:color w:val="000000"/>
          <w:lang w:eastAsia="fr-FR"/>
        </w:rPr>
        <w:t xml:space="preserve"> </w:t>
      </w:r>
      <w:r w:rsidR="00E13998">
        <w:rPr>
          <w:color w:val="000000"/>
          <w:lang w:eastAsia="fr-FR"/>
        </w:rPr>
        <w:t>au sein du</w:t>
      </w:r>
      <w:r>
        <w:rPr>
          <w:color w:val="000000"/>
          <w:lang w:eastAsia="fr-FR"/>
        </w:rPr>
        <w:t xml:space="preserve"> Groupe est indispensable à la bonne application </w:t>
      </w:r>
      <w:r w:rsidR="00E13998">
        <w:rPr>
          <w:color w:val="000000"/>
          <w:lang w:eastAsia="fr-FR"/>
        </w:rPr>
        <w:t xml:space="preserve">des obligations qui s’appliquent à lui en matière de représentation d’intérêts. </w:t>
      </w:r>
      <w:r>
        <w:rPr>
          <w:color w:val="000000"/>
          <w:lang w:eastAsia="fr-FR"/>
        </w:rPr>
        <w:t xml:space="preserve"> A</w:t>
      </w:r>
      <w:r w:rsidR="001819DB">
        <w:rPr>
          <w:color w:val="000000"/>
          <w:lang w:eastAsia="fr-FR"/>
        </w:rPr>
        <w:t>ussi</w:t>
      </w:r>
      <w:r>
        <w:rPr>
          <w:color w:val="000000"/>
          <w:lang w:eastAsia="fr-FR"/>
        </w:rPr>
        <w:t xml:space="preserve">, </w:t>
      </w:r>
      <w:r w:rsidR="00122E98">
        <w:rPr>
          <w:color w:val="000000"/>
          <w:lang w:eastAsia="fr-FR"/>
        </w:rPr>
        <w:t xml:space="preserve">dans le cadre de son </w:t>
      </w:r>
      <w:r w:rsidR="00122E98" w:rsidRPr="00122E98">
        <w:rPr>
          <w:b/>
          <w:color w:val="000000"/>
          <w:lang w:eastAsia="fr-FR"/>
        </w:rPr>
        <w:t>contrôle permanent</w:t>
      </w:r>
      <w:r w:rsidR="00122E98">
        <w:rPr>
          <w:color w:val="000000"/>
          <w:lang w:eastAsia="fr-FR"/>
        </w:rPr>
        <w:t>, le Groupe a déployé au sein de s</w:t>
      </w:r>
      <w:r>
        <w:rPr>
          <w:color w:val="000000"/>
          <w:lang w:eastAsia="fr-FR"/>
        </w:rPr>
        <w:t xml:space="preserve">es BU/SU des </w:t>
      </w:r>
      <w:r w:rsidRPr="00122E98">
        <w:rPr>
          <w:b/>
          <w:color w:val="000000"/>
          <w:lang w:eastAsia="fr-FR"/>
        </w:rPr>
        <w:t xml:space="preserve">contrôles </w:t>
      </w:r>
      <w:r w:rsidR="00E13998" w:rsidRPr="00122E98">
        <w:rPr>
          <w:b/>
          <w:color w:val="000000"/>
          <w:lang w:eastAsia="fr-FR"/>
        </w:rPr>
        <w:t xml:space="preserve">dédiés de </w:t>
      </w:r>
      <w:r w:rsidR="00122E98" w:rsidRPr="00122E98">
        <w:rPr>
          <w:b/>
          <w:color w:val="000000"/>
          <w:lang w:eastAsia="fr-FR"/>
        </w:rPr>
        <w:t xml:space="preserve">« premier niveau » </w:t>
      </w:r>
      <w:r w:rsidR="00122E98">
        <w:rPr>
          <w:color w:val="000000"/>
          <w:lang w:eastAsia="fr-FR"/>
        </w:rPr>
        <w:t xml:space="preserve">qui recouvrent les contrôles au quotidien réalisés par les opérationnels et leur hiérarchie dans le cadre du traitement des opérations, ainsi que des contrôles internes qui s’attachent à évaluer la gestion des risques et la conformité du Groupe à ses obligations : ce sont les contrôles de </w:t>
      </w:r>
      <w:r w:rsidR="00122E98" w:rsidRPr="00122E98">
        <w:rPr>
          <w:b/>
          <w:color w:val="000000"/>
          <w:lang w:eastAsia="fr-FR"/>
        </w:rPr>
        <w:t>« deuxième niveau »</w:t>
      </w:r>
      <w:r w:rsidR="00122E98">
        <w:rPr>
          <w:color w:val="000000"/>
          <w:lang w:eastAsia="fr-FR"/>
        </w:rPr>
        <w:t xml:space="preserve">. </w:t>
      </w:r>
    </w:p>
    <w:p w14:paraId="43F3C8B4" w14:textId="279B1C25" w:rsidR="00BC1A92" w:rsidRDefault="00BC1A92" w:rsidP="002B6F2E">
      <w:pPr>
        <w:pStyle w:val="Paragraphedeliste"/>
        <w:numPr>
          <w:ilvl w:val="0"/>
          <w:numId w:val="33"/>
        </w:numPr>
        <w:shd w:val="clear" w:color="auto" w:fill="FFFFFF"/>
        <w:spacing w:after="150"/>
        <w:ind w:left="426" w:hanging="426"/>
        <w:jc w:val="both"/>
        <w:rPr>
          <w:color w:val="000000"/>
          <w:lang w:eastAsia="fr-FR"/>
        </w:rPr>
      </w:pPr>
      <w:r>
        <w:rPr>
          <w:color w:val="000000"/>
          <w:lang w:eastAsia="fr-FR"/>
        </w:rPr>
        <w:t xml:space="preserve">Dans le cadre de ces obligations, le Groupe </w:t>
      </w:r>
      <w:r w:rsidR="00122E98">
        <w:rPr>
          <w:color w:val="000000"/>
          <w:lang w:eastAsia="fr-FR"/>
        </w:rPr>
        <w:t>a identifié les risques suivants</w:t>
      </w:r>
      <w:r>
        <w:rPr>
          <w:color w:val="000000"/>
          <w:lang w:eastAsia="fr-FR"/>
        </w:rPr>
        <w:t xml:space="preserve"> : </w:t>
      </w:r>
    </w:p>
    <w:p w14:paraId="48326A11" w14:textId="3C7F8CC1" w:rsidR="00BC1A92" w:rsidRDefault="00815083" w:rsidP="002B6F2E">
      <w:pPr>
        <w:pStyle w:val="Paragraphedeliste"/>
        <w:numPr>
          <w:ilvl w:val="2"/>
          <w:numId w:val="33"/>
        </w:numPr>
        <w:shd w:val="clear" w:color="auto" w:fill="FFFFFF"/>
        <w:spacing w:after="150"/>
        <w:ind w:left="993" w:hanging="284"/>
        <w:jc w:val="both"/>
        <w:rPr>
          <w:color w:val="000000"/>
          <w:lang w:eastAsia="fr-FR"/>
        </w:rPr>
      </w:pPr>
      <w:r w:rsidRPr="00BC1A92">
        <w:rPr>
          <w:iCs/>
          <w:color w:val="000000"/>
          <w:lang w:eastAsia="fr-FR"/>
        </w:rPr>
        <w:t xml:space="preserve">un </w:t>
      </w:r>
      <w:r w:rsidRPr="00BC1A92">
        <w:rPr>
          <w:b/>
          <w:iCs/>
          <w:color w:val="000000"/>
          <w:lang w:eastAsia="fr-FR"/>
        </w:rPr>
        <w:t>risque réglementaire</w:t>
      </w:r>
      <w:r w:rsidR="00BC1A92">
        <w:rPr>
          <w:color w:val="000000"/>
          <w:lang w:eastAsia="fr-FR"/>
        </w:rPr>
        <w:t xml:space="preserve"> </w:t>
      </w:r>
      <w:r w:rsidR="002B6F2E">
        <w:rPr>
          <w:color w:val="000000"/>
          <w:lang w:eastAsia="fr-FR"/>
        </w:rPr>
        <w:t>dans le cas d</w:t>
      </w:r>
      <w:r w:rsidR="001819DB">
        <w:rPr>
          <w:color w:val="000000"/>
          <w:lang w:eastAsia="fr-FR"/>
        </w:rPr>
        <w:t>u</w:t>
      </w:r>
      <w:r w:rsidR="002B6F2E">
        <w:rPr>
          <w:color w:val="000000"/>
          <w:lang w:eastAsia="fr-FR"/>
        </w:rPr>
        <w:t xml:space="preserve"> non-respect</w:t>
      </w:r>
      <w:r w:rsidR="001819DB">
        <w:rPr>
          <w:color w:val="000000"/>
          <w:lang w:eastAsia="fr-FR"/>
        </w:rPr>
        <w:t xml:space="preserve"> des obligations réglementaires</w:t>
      </w:r>
      <w:r w:rsidR="002B6F2E">
        <w:rPr>
          <w:color w:val="000000"/>
          <w:lang w:eastAsia="fr-FR"/>
        </w:rPr>
        <w:t> ;</w:t>
      </w:r>
      <w:r w:rsidR="00BC1A92">
        <w:rPr>
          <w:color w:val="000000"/>
          <w:lang w:eastAsia="fr-FR"/>
        </w:rPr>
        <w:t xml:space="preserve"> </w:t>
      </w:r>
      <w:r w:rsidRPr="00BC1A92">
        <w:rPr>
          <w:color w:val="000000"/>
          <w:lang w:eastAsia="fr-FR"/>
        </w:rPr>
        <w:t xml:space="preserve">  </w:t>
      </w:r>
    </w:p>
    <w:p w14:paraId="76A182E0" w14:textId="093DB1D9" w:rsidR="00BC1A92" w:rsidRDefault="00BC1A92" w:rsidP="002B6F2E">
      <w:pPr>
        <w:pStyle w:val="Paragraphedeliste"/>
        <w:numPr>
          <w:ilvl w:val="2"/>
          <w:numId w:val="33"/>
        </w:numPr>
        <w:shd w:val="clear" w:color="auto" w:fill="FFFFFF"/>
        <w:spacing w:after="150"/>
        <w:ind w:left="993" w:hanging="284"/>
        <w:jc w:val="both"/>
        <w:rPr>
          <w:color w:val="000000"/>
          <w:lang w:eastAsia="fr-FR"/>
        </w:rPr>
      </w:pPr>
      <w:r w:rsidRPr="00BC1A92">
        <w:rPr>
          <w:color w:val="000000"/>
          <w:lang w:eastAsia="fr-FR"/>
        </w:rPr>
        <w:t>un</w:t>
      </w:r>
      <w:r w:rsidR="00815083" w:rsidRPr="00BC1A92">
        <w:rPr>
          <w:i/>
          <w:iCs/>
          <w:color w:val="000000"/>
          <w:lang w:eastAsia="fr-FR"/>
        </w:rPr>
        <w:t xml:space="preserve"> </w:t>
      </w:r>
      <w:r w:rsidR="00815083" w:rsidRPr="00BC1A92">
        <w:rPr>
          <w:b/>
          <w:iCs/>
          <w:color w:val="000000"/>
          <w:lang w:eastAsia="fr-FR"/>
        </w:rPr>
        <w:t>risque de réputation</w:t>
      </w:r>
      <w:r w:rsidR="00815083" w:rsidRPr="00BC1A92">
        <w:rPr>
          <w:color w:val="000000"/>
          <w:lang w:eastAsia="fr-FR"/>
        </w:rPr>
        <w:t xml:space="preserve"> qui résulterait d’une conduite non appropriée ou non</w:t>
      </w:r>
      <w:r w:rsidR="002B6F2E">
        <w:rPr>
          <w:color w:val="000000"/>
          <w:lang w:eastAsia="fr-FR"/>
        </w:rPr>
        <w:t xml:space="preserve"> conforme à nos engagements ;</w:t>
      </w:r>
    </w:p>
    <w:p w14:paraId="268DBB12" w14:textId="04479CA3" w:rsidR="00285BB7" w:rsidRPr="00BC1A92" w:rsidRDefault="00285BB7" w:rsidP="002B6F2E">
      <w:pPr>
        <w:pStyle w:val="Paragraphedeliste"/>
        <w:numPr>
          <w:ilvl w:val="2"/>
          <w:numId w:val="33"/>
        </w:numPr>
        <w:shd w:val="clear" w:color="auto" w:fill="FFFFFF"/>
        <w:spacing w:after="150"/>
        <w:ind w:left="993" w:hanging="284"/>
        <w:jc w:val="both"/>
        <w:rPr>
          <w:color w:val="000000"/>
          <w:lang w:eastAsia="fr-FR"/>
        </w:rPr>
      </w:pPr>
      <w:r>
        <w:rPr>
          <w:color w:val="000000"/>
          <w:lang w:eastAsia="fr-FR"/>
        </w:rPr>
        <w:t xml:space="preserve">un </w:t>
      </w:r>
      <w:r w:rsidRPr="00122E98">
        <w:rPr>
          <w:b/>
          <w:color w:val="000000"/>
          <w:lang w:eastAsia="fr-FR"/>
        </w:rPr>
        <w:t>risque de confidentialité</w:t>
      </w:r>
      <w:r>
        <w:rPr>
          <w:color w:val="000000"/>
          <w:lang w:eastAsia="fr-FR"/>
        </w:rPr>
        <w:t xml:space="preserve"> </w:t>
      </w:r>
      <w:r w:rsidR="001819DB">
        <w:rPr>
          <w:color w:val="000000"/>
          <w:lang w:eastAsia="fr-FR"/>
        </w:rPr>
        <w:t xml:space="preserve">relatif à l’usage de </w:t>
      </w:r>
      <w:r>
        <w:rPr>
          <w:color w:val="000000"/>
          <w:lang w:eastAsia="fr-FR"/>
        </w:rPr>
        <w:t xml:space="preserve"> certaines informations internes (divulgation, cyber-attaques) qui pourrait porter atteinte à l’intérêt du Groupe. </w:t>
      </w:r>
    </w:p>
    <w:p w14:paraId="433F355E" w14:textId="2D93C4DF" w:rsidR="00B21DE8" w:rsidRPr="00F93EF9" w:rsidRDefault="00815083" w:rsidP="003A436B">
      <w:pPr>
        <w:pStyle w:val="Paragraphedeliste"/>
        <w:numPr>
          <w:ilvl w:val="0"/>
          <w:numId w:val="24"/>
        </w:numPr>
        <w:shd w:val="clear" w:color="auto" w:fill="FFFFFF"/>
        <w:tabs>
          <w:tab w:val="clear" w:pos="360"/>
          <w:tab w:val="num" w:pos="426"/>
        </w:tabs>
        <w:spacing w:after="150"/>
        <w:ind w:left="426" w:hanging="426"/>
        <w:jc w:val="both"/>
        <w:rPr>
          <w:color w:val="000000"/>
          <w:lang w:eastAsia="fr-FR"/>
        </w:rPr>
      </w:pPr>
      <w:r w:rsidRPr="00BC1A92">
        <w:rPr>
          <w:iCs/>
          <w:color w:val="000000"/>
          <w:lang w:eastAsia="fr-FR"/>
        </w:rPr>
        <w:t>Pour se prémunir de ces risques,</w:t>
      </w:r>
      <w:r w:rsidR="00122E98">
        <w:rPr>
          <w:color w:val="000000"/>
          <w:lang w:eastAsia="fr-FR"/>
        </w:rPr>
        <w:t xml:space="preserve"> un </w:t>
      </w:r>
      <w:r w:rsidR="00122E98" w:rsidRPr="00122E98">
        <w:rPr>
          <w:b/>
          <w:color w:val="000000"/>
          <w:lang w:eastAsia="fr-FR"/>
        </w:rPr>
        <w:t>contrôle générique de « représentation d’intérêts »</w:t>
      </w:r>
      <w:r w:rsidR="00122E98">
        <w:rPr>
          <w:color w:val="000000"/>
          <w:lang w:eastAsia="fr-FR"/>
        </w:rPr>
        <w:t xml:space="preserve"> est mis en place afin de rappeler périodiquement les opérations de contrôles que doivent réaliser les correspondants d’</w:t>
      </w:r>
      <w:r w:rsidR="002B6F2E">
        <w:rPr>
          <w:color w:val="000000"/>
          <w:lang w:eastAsia="fr-FR"/>
        </w:rPr>
        <w:t xml:space="preserve">intérêts au sein de leur BU/SU. </w:t>
      </w:r>
      <w:r w:rsidR="00B36047" w:rsidRPr="002B6F2E">
        <w:rPr>
          <w:color w:val="000000"/>
          <w:lang w:eastAsia="fr-FR"/>
        </w:rPr>
        <w:t xml:space="preserve">Ce contrôle générique se décline ensuite en </w:t>
      </w:r>
      <w:r w:rsidRPr="002B6F2E">
        <w:rPr>
          <w:b/>
          <w:color w:val="000000"/>
          <w:lang w:eastAsia="fr-FR"/>
        </w:rPr>
        <w:t xml:space="preserve">contrôles de conformité et de sécurité </w:t>
      </w:r>
      <w:r w:rsidR="00122E98" w:rsidRPr="002B6F2E">
        <w:rPr>
          <w:b/>
          <w:color w:val="000000"/>
          <w:lang w:eastAsia="fr-FR"/>
        </w:rPr>
        <w:t>informatique</w:t>
      </w:r>
      <w:r w:rsidR="002B6F2E">
        <w:rPr>
          <w:b/>
          <w:color w:val="000000"/>
          <w:lang w:eastAsia="fr-FR"/>
        </w:rPr>
        <w:t xml:space="preserve"> au sein de chaque BU/SU</w:t>
      </w:r>
      <w:r w:rsidR="002B6F2E">
        <w:rPr>
          <w:color w:val="000000"/>
          <w:lang w:eastAsia="fr-FR"/>
        </w:rPr>
        <w:t xml:space="preserve">. </w:t>
      </w:r>
    </w:p>
    <w:p w14:paraId="6FE35BD6" w14:textId="77777777" w:rsidR="00F93EF9" w:rsidRDefault="00F93EF9" w:rsidP="009B4070">
      <w:pPr>
        <w:rPr>
          <w:b/>
          <w:color w:val="C00000"/>
          <w:sz w:val="24"/>
        </w:rPr>
      </w:pPr>
    </w:p>
    <w:p w14:paraId="44269151" w14:textId="77777777" w:rsidR="00F93EF9" w:rsidRDefault="00F93EF9" w:rsidP="009B4070">
      <w:pPr>
        <w:rPr>
          <w:b/>
          <w:color w:val="C00000"/>
          <w:sz w:val="24"/>
        </w:rPr>
      </w:pPr>
    </w:p>
    <w:p w14:paraId="513FD567" w14:textId="0047236C" w:rsidR="00F52A9B" w:rsidRDefault="00B36047" w:rsidP="009B4070">
      <w:r w:rsidRPr="00214BC7">
        <w:rPr>
          <w:b/>
          <w:color w:val="C00000"/>
          <w:sz w:val="24"/>
        </w:rPr>
        <w:t xml:space="preserve">SECTION 3. POSITIONS PUBLIQUES </w:t>
      </w:r>
    </w:p>
    <w:p w14:paraId="0E3507CF" w14:textId="5F5D7EED" w:rsidR="004112FF" w:rsidRDefault="004112FF" w:rsidP="004112FF">
      <w:pPr>
        <w:pStyle w:val="Paragraphedeliste"/>
        <w:ind w:left="360"/>
        <w:rPr>
          <w:b/>
          <w:bCs/>
          <w:color w:val="000000" w:themeColor="text1"/>
        </w:rPr>
      </w:pPr>
    </w:p>
    <w:p w14:paraId="3A29ACE9" w14:textId="47DB399F" w:rsidR="000244F1" w:rsidRDefault="00E4150E" w:rsidP="000244F1">
      <w:pPr>
        <w:pStyle w:val="Paragraphedeliste"/>
        <w:numPr>
          <w:ilvl w:val="0"/>
          <w:numId w:val="43"/>
        </w:numPr>
        <w:rPr>
          <w:b/>
          <w:bCs/>
          <w:color w:val="000000" w:themeColor="text1"/>
        </w:rPr>
      </w:pPr>
      <w:r>
        <w:rPr>
          <w:b/>
          <w:bCs/>
          <w:color w:val="000000" w:themeColor="text1"/>
        </w:rPr>
        <w:t>PAQUET BANCAIRE (« RISK REDUCTION MEASURES » OU PAQUET RRM)</w:t>
      </w:r>
    </w:p>
    <w:p w14:paraId="60D79893" w14:textId="17AA9DAD" w:rsidR="00725429" w:rsidRDefault="00725429" w:rsidP="00725429">
      <w:pPr>
        <w:pStyle w:val="Paragraphedeliste"/>
        <w:rPr>
          <w:b/>
          <w:bCs/>
          <w:color w:val="000000" w:themeColor="text1"/>
        </w:rPr>
      </w:pPr>
    </w:p>
    <w:p w14:paraId="044C1521" w14:textId="1802D740" w:rsidR="00725429" w:rsidRDefault="00725429" w:rsidP="00725429">
      <w:pPr>
        <w:ind w:left="708"/>
        <w:rPr>
          <w:rFonts w:ascii="Arial" w:hAnsi="Arial" w:cs="Arial"/>
          <w:b/>
          <w:bCs/>
          <w:color w:val="000000"/>
          <w:sz w:val="20"/>
          <w:szCs w:val="20"/>
          <w:lang w:val="fr-BE"/>
        </w:rPr>
      </w:pPr>
      <w:r>
        <w:rPr>
          <w:rFonts w:ascii="Arial" w:hAnsi="Arial" w:cs="Arial"/>
          <w:b/>
          <w:bCs/>
          <w:color w:val="000000"/>
          <w:sz w:val="20"/>
          <w:szCs w:val="20"/>
          <w:lang w:val="fr-BE"/>
        </w:rPr>
        <w:t xml:space="preserve">Etat des lieux </w:t>
      </w:r>
    </w:p>
    <w:p w14:paraId="40087503" w14:textId="77777777" w:rsidR="00725429" w:rsidRDefault="00725429" w:rsidP="00725429">
      <w:pPr>
        <w:ind w:left="708"/>
        <w:rPr>
          <w:rFonts w:ascii="Arial" w:hAnsi="Arial" w:cs="Arial"/>
          <w:color w:val="000000"/>
          <w:sz w:val="24"/>
          <w:szCs w:val="24"/>
          <w:lang w:val="fr-BE"/>
        </w:rPr>
      </w:pPr>
    </w:p>
    <w:p w14:paraId="75D34317" w14:textId="624B4680" w:rsidR="00725429" w:rsidRDefault="00725429" w:rsidP="00725429">
      <w:pPr>
        <w:ind w:left="708"/>
        <w:jc w:val="both"/>
        <w:rPr>
          <w:lang w:val="fr-BE"/>
        </w:rPr>
      </w:pPr>
      <w:r>
        <w:rPr>
          <w:lang w:val="fr-BE"/>
        </w:rPr>
        <w:t xml:space="preserve">Le « paquet bancaire » publié en novembre 2016 par la Commission européenne et adopté au printemps 2019 </w:t>
      </w:r>
      <w:r w:rsidR="00552F64">
        <w:rPr>
          <w:lang w:val="fr-BE"/>
        </w:rPr>
        <w:t xml:space="preserve">constitue </w:t>
      </w:r>
      <w:r>
        <w:rPr>
          <w:lang w:val="fr-BE"/>
        </w:rPr>
        <w:t xml:space="preserve">la dernière évolution des </w:t>
      </w:r>
      <w:r w:rsidR="00552F64">
        <w:rPr>
          <w:lang w:val="fr-BE"/>
        </w:rPr>
        <w:t>règles</w:t>
      </w:r>
      <w:r>
        <w:rPr>
          <w:lang w:val="fr-BE"/>
        </w:rPr>
        <w:t xml:space="preserve"> adoptées en réponse à la crise financière : ce paquet de mesures est la traduction européenne de l’agenda international marqué par </w:t>
      </w:r>
      <w:r w:rsidR="00552F64">
        <w:rPr>
          <w:lang w:val="fr-BE"/>
        </w:rPr>
        <w:t>la nécessité de</w:t>
      </w:r>
      <w:r>
        <w:rPr>
          <w:lang w:val="fr-BE"/>
        </w:rPr>
        <w:t xml:space="preserve"> </w:t>
      </w:r>
      <w:r w:rsidR="00552F64">
        <w:rPr>
          <w:lang w:val="fr-BE"/>
        </w:rPr>
        <w:t xml:space="preserve">renforcer </w:t>
      </w:r>
      <w:r>
        <w:rPr>
          <w:lang w:val="fr-BE"/>
        </w:rPr>
        <w:t xml:space="preserve">la résilience des établissements bancaires et de la stabilité du système financier. </w:t>
      </w:r>
    </w:p>
    <w:p w14:paraId="44C1BAB9" w14:textId="77777777" w:rsidR="00725429" w:rsidRDefault="00725429" w:rsidP="00725429">
      <w:pPr>
        <w:ind w:left="708"/>
        <w:jc w:val="both"/>
        <w:rPr>
          <w:lang w:val="fr-BE"/>
        </w:rPr>
      </w:pPr>
    </w:p>
    <w:p w14:paraId="57251E4D" w14:textId="6525AE88" w:rsidR="00725429" w:rsidRDefault="00725429" w:rsidP="00725429">
      <w:pPr>
        <w:ind w:left="708"/>
        <w:jc w:val="both"/>
        <w:rPr>
          <w:lang w:val="fr-BE"/>
        </w:rPr>
      </w:pPr>
      <w:r>
        <w:rPr>
          <w:lang w:val="fr-BE"/>
        </w:rPr>
        <w:t>Cet agenda</w:t>
      </w:r>
      <w:r w:rsidR="00593C44">
        <w:rPr>
          <w:lang w:val="fr-BE"/>
        </w:rPr>
        <w:t>,</w:t>
      </w:r>
      <w:r>
        <w:rPr>
          <w:lang w:val="fr-BE"/>
        </w:rPr>
        <w:t xml:space="preserve"> qui </w:t>
      </w:r>
      <w:r w:rsidR="00593C44">
        <w:rPr>
          <w:lang w:val="fr-BE"/>
        </w:rPr>
        <w:t>se concentre sur</w:t>
      </w:r>
      <w:r>
        <w:rPr>
          <w:lang w:val="fr-BE"/>
        </w:rPr>
        <w:t xml:space="preserve"> </w:t>
      </w:r>
      <w:r w:rsidR="00552F64">
        <w:rPr>
          <w:lang w:val="fr-BE"/>
        </w:rPr>
        <w:t xml:space="preserve">la </w:t>
      </w:r>
      <w:r>
        <w:rPr>
          <w:lang w:val="fr-BE"/>
        </w:rPr>
        <w:t>réduction des risques</w:t>
      </w:r>
      <w:r w:rsidR="00593C44">
        <w:rPr>
          <w:lang w:val="fr-BE"/>
        </w:rPr>
        <w:t>,</w:t>
      </w:r>
      <w:r>
        <w:rPr>
          <w:lang w:val="fr-BE"/>
        </w:rPr>
        <w:t xml:space="preserve"> a été présenté comme le préalable nécessaire à d’avantage de partage de risques au sein de l’Union bancaire</w:t>
      </w:r>
      <w:r w:rsidR="001542D2">
        <w:rPr>
          <w:lang w:val="fr-BE"/>
        </w:rPr>
        <w:t>,</w:t>
      </w:r>
      <w:r>
        <w:rPr>
          <w:lang w:val="fr-BE"/>
        </w:rPr>
        <w:t xml:space="preserve"> et notamment </w:t>
      </w:r>
      <w:r w:rsidR="00552F64">
        <w:rPr>
          <w:lang w:val="fr-BE"/>
        </w:rPr>
        <w:t xml:space="preserve">de </w:t>
      </w:r>
      <w:r>
        <w:rPr>
          <w:lang w:val="fr-BE"/>
        </w:rPr>
        <w:t>la finalisation toujours annoncée mais jamais réalisée du 3</w:t>
      </w:r>
      <w:r>
        <w:rPr>
          <w:vertAlign w:val="superscript"/>
          <w:lang w:val="fr-BE"/>
        </w:rPr>
        <w:t>ème</w:t>
      </w:r>
      <w:r>
        <w:rPr>
          <w:lang w:val="fr-BE"/>
        </w:rPr>
        <w:t xml:space="preserve"> pilier de cette union, le système commun de garantie des dépôts bancaires (cf. point b ci-après). </w:t>
      </w:r>
    </w:p>
    <w:p w14:paraId="71A58121" w14:textId="7557B423" w:rsidR="00F93EF9" w:rsidRDefault="00F93EF9" w:rsidP="00725429">
      <w:pPr>
        <w:ind w:left="708"/>
        <w:jc w:val="both"/>
        <w:rPr>
          <w:lang w:val="fr-BE"/>
        </w:rPr>
      </w:pPr>
    </w:p>
    <w:p w14:paraId="40A6AB4F" w14:textId="5506D4A2" w:rsidR="00F93EF9" w:rsidRDefault="00F93EF9" w:rsidP="00725429">
      <w:pPr>
        <w:ind w:left="708"/>
        <w:jc w:val="both"/>
        <w:rPr>
          <w:lang w:val="fr-BE"/>
        </w:rPr>
      </w:pPr>
    </w:p>
    <w:p w14:paraId="02182A04" w14:textId="77777777" w:rsidR="00F93EF9" w:rsidRDefault="00F93EF9" w:rsidP="00725429">
      <w:pPr>
        <w:ind w:left="708"/>
        <w:jc w:val="both"/>
        <w:rPr>
          <w:lang w:val="fr-BE"/>
        </w:rPr>
      </w:pPr>
    </w:p>
    <w:p w14:paraId="6F1B59D1" w14:textId="6B203DEE" w:rsidR="00341526" w:rsidRDefault="00341526" w:rsidP="00341526">
      <w:pPr>
        <w:rPr>
          <w:rFonts w:ascii="Times New Roman" w:hAnsi="Times New Roman" w:cs="Times New Roman"/>
          <w:color w:val="000000"/>
        </w:rPr>
      </w:pPr>
    </w:p>
    <w:p w14:paraId="498B4523" w14:textId="5D146373" w:rsidR="00725429" w:rsidRDefault="00725429" w:rsidP="000F62C6">
      <w:pPr>
        <w:ind w:firstLine="708"/>
        <w:rPr>
          <w:rFonts w:ascii="Arial" w:hAnsi="Arial" w:cs="Arial"/>
          <w:b/>
          <w:bCs/>
          <w:color w:val="000000"/>
          <w:sz w:val="20"/>
          <w:szCs w:val="20"/>
          <w:lang w:val="fr-BE"/>
        </w:rPr>
      </w:pPr>
      <w:r>
        <w:rPr>
          <w:rFonts w:ascii="Arial" w:hAnsi="Arial" w:cs="Arial"/>
          <w:b/>
          <w:bCs/>
          <w:color w:val="000000"/>
          <w:sz w:val="20"/>
          <w:szCs w:val="20"/>
          <w:lang w:val="fr-BE"/>
        </w:rPr>
        <w:t xml:space="preserve">Position du Groupe </w:t>
      </w:r>
    </w:p>
    <w:p w14:paraId="7EE82295" w14:textId="77777777" w:rsidR="00725429" w:rsidRDefault="00725429" w:rsidP="00725429">
      <w:pPr>
        <w:ind w:left="708"/>
        <w:rPr>
          <w:rFonts w:ascii="Arial" w:hAnsi="Arial" w:cs="Arial"/>
          <w:color w:val="000000"/>
          <w:sz w:val="20"/>
          <w:szCs w:val="20"/>
          <w:lang w:val="fr-BE"/>
        </w:rPr>
      </w:pPr>
    </w:p>
    <w:p w14:paraId="2A83AA49" w14:textId="6F8F9B9C" w:rsidR="00725429" w:rsidRDefault="00725429" w:rsidP="00725429">
      <w:pPr>
        <w:ind w:left="708"/>
        <w:jc w:val="both"/>
        <w:rPr>
          <w:lang w:val="fr-BE"/>
        </w:rPr>
      </w:pPr>
      <w:r>
        <w:rPr>
          <w:lang w:val="fr-BE"/>
        </w:rPr>
        <w:t xml:space="preserve">Société Générale se félicite qu’un accord ait été trouvé sur ce paquet de mesures qui représentent un pas supplémentaire décisif vers la réduction des risques </w:t>
      </w:r>
      <w:r w:rsidR="001542D2">
        <w:rPr>
          <w:lang w:val="fr-BE"/>
        </w:rPr>
        <w:t>au sein du</w:t>
      </w:r>
      <w:r>
        <w:rPr>
          <w:lang w:val="fr-BE"/>
        </w:rPr>
        <w:t xml:space="preserve"> système bancaire</w:t>
      </w:r>
      <w:r w:rsidR="001542D2">
        <w:rPr>
          <w:lang w:val="fr-BE"/>
        </w:rPr>
        <w:t xml:space="preserve"> européen</w:t>
      </w:r>
      <w:r>
        <w:rPr>
          <w:lang w:val="fr-BE"/>
        </w:rPr>
        <w:t>. Conjuguées au renforcement déjà considérable des bilans des banques,</w:t>
      </w:r>
      <w:r w:rsidR="001542D2">
        <w:rPr>
          <w:lang w:val="fr-BE"/>
        </w:rPr>
        <w:t xml:space="preserve"> notamment grâce à</w:t>
      </w:r>
      <w:r w:rsidR="00341526">
        <w:rPr>
          <w:lang w:val="fr-BE"/>
        </w:rPr>
        <w:t xml:space="preserve"> </w:t>
      </w:r>
      <w:r>
        <w:rPr>
          <w:lang w:val="fr-BE"/>
        </w:rPr>
        <w:t xml:space="preserve">une réduction substantielle des stocks de prêts non performants, ces améliorations devraient permettre de réaliser de nouveaux progrès sur la voie d’une véritable Union bancaire. </w:t>
      </w:r>
    </w:p>
    <w:p w14:paraId="18288B9D" w14:textId="77777777" w:rsidR="00725429" w:rsidRDefault="00725429" w:rsidP="00725429">
      <w:pPr>
        <w:ind w:left="708"/>
        <w:jc w:val="both"/>
        <w:rPr>
          <w:lang w:val="fr-BE"/>
        </w:rPr>
      </w:pPr>
    </w:p>
    <w:p w14:paraId="6680B863" w14:textId="36E77B0B" w:rsidR="00341526" w:rsidRDefault="00725429" w:rsidP="00341526">
      <w:pPr>
        <w:ind w:left="708"/>
        <w:jc w:val="both"/>
        <w:rPr>
          <w:lang w:val="fr-BE"/>
        </w:rPr>
      </w:pPr>
      <w:r>
        <w:rPr>
          <w:lang w:val="fr-BE"/>
        </w:rPr>
        <w:t>Société Générale a défendu une transposition juste et proportionnée des normes réglementaires internationales en vertu de</w:t>
      </w:r>
      <w:r w:rsidR="001542D2">
        <w:rPr>
          <w:lang w:val="fr-BE"/>
        </w:rPr>
        <w:t>s</w:t>
      </w:r>
      <w:r>
        <w:rPr>
          <w:lang w:val="fr-BE"/>
        </w:rPr>
        <w:t xml:space="preserve"> principes directeurs</w:t>
      </w:r>
      <w:r w:rsidR="001542D2">
        <w:rPr>
          <w:lang w:val="fr-BE"/>
        </w:rPr>
        <w:t xml:space="preserve"> suivants :</w:t>
      </w:r>
      <w:r>
        <w:rPr>
          <w:lang w:val="fr-BE"/>
        </w:rPr>
        <w:t>(i) l’attention à une transposition qui soit cohérente avec les autres juridictions (et à ne pas préempter des sujets dont la négociation n’était pas encore achevée dans les instances internationales), (ii) la défense d’une vision intégrée de l’Union bancaire</w:t>
      </w:r>
      <w:r w:rsidR="00341526">
        <w:rPr>
          <w:lang w:val="fr-BE"/>
        </w:rPr>
        <w:t xml:space="preserve">, qui se traduirait concrètement par </w:t>
      </w:r>
      <w:r>
        <w:rPr>
          <w:lang w:val="fr-BE"/>
        </w:rPr>
        <w:t>, la suppression des obstacles à la libre circulation des capitaux et des liquidités, (</w:t>
      </w:r>
      <w:r w:rsidRPr="00725429">
        <w:rPr>
          <w:lang w:val="fr-BE"/>
        </w:rPr>
        <w:t xml:space="preserve">iii) </w:t>
      </w:r>
      <w:r w:rsidR="00FB0308">
        <w:rPr>
          <w:lang w:val="fr-BE"/>
        </w:rPr>
        <w:t>veiller à ce que la</w:t>
      </w:r>
      <w:r w:rsidR="00F6483D">
        <w:rPr>
          <w:lang w:val="fr-BE"/>
        </w:rPr>
        <w:t xml:space="preserve"> réduction des risques </w:t>
      </w:r>
      <w:r w:rsidR="00F2469F">
        <w:rPr>
          <w:lang w:val="fr-BE"/>
        </w:rPr>
        <w:t xml:space="preserve">aille ensuite de pair avec </w:t>
      </w:r>
      <w:r w:rsidR="005850EB">
        <w:rPr>
          <w:lang w:val="fr-BE"/>
        </w:rPr>
        <w:t xml:space="preserve">un meilleur partage des risques et permette </w:t>
      </w:r>
      <w:r w:rsidR="00F2469F">
        <w:rPr>
          <w:lang w:val="fr-BE"/>
        </w:rPr>
        <w:t xml:space="preserve">à terme </w:t>
      </w:r>
      <w:r w:rsidR="005850EB">
        <w:rPr>
          <w:lang w:val="fr-BE"/>
        </w:rPr>
        <w:t xml:space="preserve">de finaliser l’Union des Marchés de Capitaux (UMC, cf. point b ci-après.  </w:t>
      </w:r>
      <w:r w:rsidR="001542D2">
        <w:rPr>
          <w:lang w:val="fr-BE"/>
        </w:rPr>
        <w:t xml:space="preserve">(cf. point b ci-après). </w:t>
      </w:r>
      <w:r w:rsidR="001542D2" w:rsidRPr="00725429" w:rsidDel="001542D2">
        <w:rPr>
          <w:lang w:val="fr-BE"/>
        </w:rPr>
        <w:t xml:space="preserve"> </w:t>
      </w:r>
    </w:p>
    <w:p w14:paraId="696837AD" w14:textId="77777777" w:rsidR="000F62C6" w:rsidRDefault="000F62C6" w:rsidP="00341526">
      <w:pPr>
        <w:ind w:left="708"/>
        <w:jc w:val="both"/>
        <w:rPr>
          <w:lang w:val="fr-BE"/>
        </w:rPr>
      </w:pPr>
    </w:p>
    <w:p w14:paraId="2E5F0FD6" w14:textId="5E6180C1" w:rsidR="00725429" w:rsidRPr="00725429" w:rsidRDefault="00E4150E" w:rsidP="00725429">
      <w:pPr>
        <w:pStyle w:val="Paragraphedeliste"/>
        <w:numPr>
          <w:ilvl w:val="0"/>
          <w:numId w:val="43"/>
        </w:numPr>
        <w:rPr>
          <w:b/>
          <w:bCs/>
          <w:color w:val="000000" w:themeColor="text1"/>
        </w:rPr>
      </w:pPr>
      <w:r>
        <w:rPr>
          <w:b/>
          <w:bCs/>
          <w:color w:val="000000" w:themeColor="text1"/>
        </w:rPr>
        <w:t xml:space="preserve">FINANCEMENT DE L’ECONOMIE EUROPEENNE </w:t>
      </w:r>
    </w:p>
    <w:p w14:paraId="181DD70F" w14:textId="4BD01FE8" w:rsidR="00725429" w:rsidRDefault="00725429" w:rsidP="00725429">
      <w:pPr>
        <w:pStyle w:val="Paragraphedeliste"/>
        <w:rPr>
          <w:b/>
          <w:bCs/>
          <w:color w:val="000000" w:themeColor="text1"/>
        </w:rPr>
      </w:pPr>
    </w:p>
    <w:p w14:paraId="5B7F1FC8" w14:textId="00A83464" w:rsidR="00725429" w:rsidRPr="00725429" w:rsidRDefault="00725429" w:rsidP="00725429">
      <w:pPr>
        <w:pStyle w:val="Default"/>
        <w:ind w:left="708"/>
        <w:jc w:val="both"/>
        <w:rPr>
          <w:sz w:val="22"/>
          <w:szCs w:val="22"/>
          <w:lang w:eastAsia="fr-FR"/>
        </w:rPr>
      </w:pPr>
      <w:r>
        <w:rPr>
          <w:sz w:val="22"/>
          <w:szCs w:val="22"/>
          <w:lang w:eastAsia="fr-FR"/>
        </w:rPr>
        <w:t>D</w:t>
      </w:r>
      <w:r w:rsidRPr="00725429">
        <w:rPr>
          <w:sz w:val="22"/>
          <w:szCs w:val="22"/>
          <w:lang w:eastAsia="fr-FR"/>
        </w:rPr>
        <w:t>eux chantiers prioritaires sont actuellement en cours afin d’améliorer le financement de l’économie européenne : d’une part, la finalisation de l’Union bancaire, et, d’autre part, de l’Union des Marchés de Capitaux. Ces deux chantiers sont d’autant plus indispensables dans le contexte du Brexit, qui conduit inévitablement le Groupe à prendre toutes les mesures nécessaires pour assurer un degré optimal de fourniture de services financiers malgré l’incertitude générée.  </w:t>
      </w:r>
    </w:p>
    <w:p w14:paraId="36F33245" w14:textId="77777777" w:rsidR="00725429" w:rsidRPr="00725429" w:rsidRDefault="00725429" w:rsidP="00725429">
      <w:pPr>
        <w:pStyle w:val="Default"/>
        <w:ind w:left="708"/>
        <w:jc w:val="both"/>
        <w:rPr>
          <w:sz w:val="22"/>
          <w:szCs w:val="22"/>
          <w:lang w:eastAsia="fr-FR"/>
        </w:rPr>
      </w:pPr>
    </w:p>
    <w:p w14:paraId="0B985AD2" w14:textId="68BF51CD" w:rsidR="00725429" w:rsidRPr="00725429" w:rsidRDefault="00725429" w:rsidP="00725429">
      <w:pPr>
        <w:pStyle w:val="Default"/>
        <w:ind w:left="708"/>
        <w:jc w:val="both"/>
        <w:rPr>
          <w:b/>
          <w:sz w:val="22"/>
          <w:szCs w:val="22"/>
          <w:lang w:eastAsia="fr-FR"/>
        </w:rPr>
      </w:pPr>
      <w:r w:rsidRPr="00725429">
        <w:rPr>
          <w:b/>
          <w:sz w:val="22"/>
          <w:szCs w:val="22"/>
          <w:lang w:eastAsia="fr-FR"/>
        </w:rPr>
        <w:t>Etat des lieux</w:t>
      </w:r>
    </w:p>
    <w:p w14:paraId="0EB21BB6" w14:textId="77777777" w:rsidR="00725429" w:rsidRDefault="00725429" w:rsidP="00725429">
      <w:pPr>
        <w:pStyle w:val="Default"/>
        <w:ind w:left="708"/>
        <w:jc w:val="both"/>
        <w:rPr>
          <w:sz w:val="22"/>
          <w:szCs w:val="22"/>
          <w:lang w:eastAsia="fr-FR"/>
        </w:rPr>
      </w:pPr>
    </w:p>
    <w:p w14:paraId="2ADC4926" w14:textId="4FEE7F59" w:rsidR="00725429" w:rsidRPr="00725429" w:rsidRDefault="00725429" w:rsidP="00725429">
      <w:pPr>
        <w:pStyle w:val="Default"/>
        <w:ind w:left="708"/>
        <w:jc w:val="both"/>
        <w:rPr>
          <w:sz w:val="22"/>
          <w:szCs w:val="22"/>
          <w:lang w:eastAsia="fr-FR"/>
        </w:rPr>
      </w:pPr>
      <w:r w:rsidRPr="00725429">
        <w:rPr>
          <w:sz w:val="22"/>
          <w:szCs w:val="22"/>
          <w:lang w:eastAsia="fr-FR"/>
        </w:rPr>
        <w:t xml:space="preserve">De nombreux progrès ont été réalisés depuis le lancement de </w:t>
      </w:r>
      <w:r w:rsidRPr="00725429">
        <w:rPr>
          <w:b/>
          <w:sz w:val="22"/>
          <w:szCs w:val="22"/>
          <w:lang w:eastAsia="fr-FR"/>
        </w:rPr>
        <w:t>l’Union bancaire</w:t>
      </w:r>
      <w:r w:rsidRPr="00725429">
        <w:rPr>
          <w:sz w:val="22"/>
          <w:szCs w:val="22"/>
          <w:lang w:eastAsia="fr-FR"/>
        </w:rPr>
        <w:t>, avec la mise en place de ses deux premiers piliers (mécanisme de supervision unique et mécanisme de résolution unique). Le troisième pilier, relatif à la mise en place d’un mécanisme européen de garantie des dépôts, n’a toutefois pas fait l’objet d’avancées prometteuses pour l’heure, encore largement débattu entre les Etats membres tant en raison de considérations techniques que politiques.</w:t>
      </w:r>
    </w:p>
    <w:p w14:paraId="5CA97DA0" w14:textId="77777777" w:rsidR="00725429" w:rsidRDefault="00725429" w:rsidP="00725429">
      <w:pPr>
        <w:pStyle w:val="Default"/>
        <w:ind w:left="708"/>
        <w:jc w:val="both"/>
        <w:rPr>
          <w:sz w:val="22"/>
          <w:szCs w:val="22"/>
          <w:lang w:eastAsia="fr-FR"/>
        </w:rPr>
      </w:pPr>
    </w:p>
    <w:p w14:paraId="5560BE23" w14:textId="748C0DE8" w:rsidR="00725429" w:rsidRDefault="00725429" w:rsidP="00725429">
      <w:pPr>
        <w:pStyle w:val="Default"/>
        <w:ind w:left="708"/>
        <w:jc w:val="both"/>
        <w:rPr>
          <w:b/>
          <w:sz w:val="22"/>
          <w:szCs w:val="22"/>
          <w:lang w:eastAsia="fr-FR"/>
        </w:rPr>
      </w:pPr>
      <w:r w:rsidRPr="00725429">
        <w:rPr>
          <w:b/>
          <w:sz w:val="22"/>
          <w:szCs w:val="22"/>
          <w:lang w:eastAsia="fr-FR"/>
        </w:rPr>
        <w:t>Position du Groupe</w:t>
      </w:r>
    </w:p>
    <w:p w14:paraId="3BFE6954" w14:textId="77777777" w:rsidR="00725429" w:rsidRPr="00725429" w:rsidRDefault="00725429" w:rsidP="00725429">
      <w:pPr>
        <w:pStyle w:val="Default"/>
        <w:ind w:left="708"/>
        <w:jc w:val="both"/>
        <w:rPr>
          <w:b/>
          <w:sz w:val="22"/>
          <w:szCs w:val="22"/>
          <w:lang w:eastAsia="fr-FR"/>
        </w:rPr>
      </w:pPr>
    </w:p>
    <w:p w14:paraId="6FDD2CF1" w14:textId="6D10CBB6" w:rsidR="00725429" w:rsidRPr="00725429" w:rsidRDefault="00D1508A" w:rsidP="00725429">
      <w:pPr>
        <w:pStyle w:val="Default"/>
        <w:ind w:left="708"/>
        <w:jc w:val="both"/>
        <w:rPr>
          <w:sz w:val="22"/>
          <w:szCs w:val="22"/>
          <w:lang w:eastAsia="fr-FR"/>
        </w:rPr>
      </w:pPr>
      <w:r>
        <w:rPr>
          <w:sz w:val="22"/>
          <w:szCs w:val="22"/>
          <w:lang w:eastAsia="fr-FR"/>
        </w:rPr>
        <w:t>Société Générale</w:t>
      </w:r>
      <w:r w:rsidR="00725429" w:rsidRPr="00725429">
        <w:rPr>
          <w:sz w:val="22"/>
          <w:szCs w:val="22"/>
          <w:lang w:eastAsia="fr-FR"/>
        </w:rPr>
        <w:t xml:space="preserve"> estime que le succès de l’Union bancaire résidera en particulier dans la finalisation de ses deux premiers piliers, préalable indispensable à la réalisation du troisième pilier. Le Groupe souligne en ce sens la nécessité de reconnaître l’Union bancaire comme une juridiction unique. En particulier, l’élimination de tous les obstacles de nature à entraver les flux de capitaux et de liquidité permettra à terme (i) d’augmenter le volume des investissements transfrontières, (ii) de renforcer la résilience des banques en réduisant leur exposition à des chocs asymétriques, (iii) de favoriser à un partage des risques accru et donc (iv) d’aboutir à une meilleure allocation des ressources. </w:t>
      </w:r>
    </w:p>
    <w:p w14:paraId="13120214" w14:textId="77777777" w:rsidR="00725429" w:rsidRDefault="00725429" w:rsidP="00725429">
      <w:pPr>
        <w:pStyle w:val="NormalWeb"/>
        <w:shd w:val="clear" w:color="auto" w:fill="FFFFFF"/>
        <w:spacing w:before="0" w:beforeAutospacing="0" w:after="0" w:afterAutospacing="0"/>
        <w:jc w:val="both"/>
        <w:rPr>
          <w:color w:val="000000"/>
        </w:rPr>
      </w:pPr>
    </w:p>
    <w:p w14:paraId="56EE7199" w14:textId="7F109CE7" w:rsidR="00725429" w:rsidRPr="00725429" w:rsidRDefault="00725429" w:rsidP="00725429">
      <w:pPr>
        <w:pStyle w:val="NormalWeb"/>
        <w:shd w:val="clear" w:color="auto" w:fill="FFFFFF"/>
        <w:spacing w:before="0" w:beforeAutospacing="0" w:after="0" w:afterAutospacing="0"/>
        <w:ind w:left="708"/>
        <w:jc w:val="both"/>
        <w:rPr>
          <w:b/>
          <w:color w:val="000000"/>
        </w:rPr>
      </w:pPr>
      <w:r w:rsidRPr="00725429">
        <w:rPr>
          <w:b/>
          <w:color w:val="000000"/>
        </w:rPr>
        <w:t xml:space="preserve">Etat des lieux </w:t>
      </w:r>
    </w:p>
    <w:p w14:paraId="5FC00B1D" w14:textId="77777777" w:rsidR="00725429" w:rsidRDefault="00725429" w:rsidP="00725429">
      <w:pPr>
        <w:pStyle w:val="NormalWeb"/>
        <w:shd w:val="clear" w:color="auto" w:fill="FFFFFF"/>
        <w:spacing w:before="0" w:beforeAutospacing="0" w:after="0" w:afterAutospacing="0"/>
        <w:ind w:left="708"/>
        <w:jc w:val="both"/>
        <w:rPr>
          <w:color w:val="000000"/>
        </w:rPr>
      </w:pPr>
    </w:p>
    <w:p w14:paraId="34E67BBA" w14:textId="37691F9C" w:rsidR="00725429" w:rsidRDefault="00725429" w:rsidP="00725429">
      <w:pPr>
        <w:pStyle w:val="NormalWeb"/>
        <w:shd w:val="clear" w:color="auto" w:fill="FFFFFF"/>
        <w:spacing w:before="0" w:beforeAutospacing="0" w:after="0" w:afterAutospacing="0"/>
        <w:ind w:left="708"/>
        <w:jc w:val="both"/>
        <w:rPr>
          <w:color w:val="000000"/>
        </w:rPr>
      </w:pPr>
      <w:r>
        <w:rPr>
          <w:color w:val="000000"/>
        </w:rPr>
        <w:t>Outre l’Union bancaire, une véritable </w:t>
      </w:r>
      <w:r w:rsidRPr="00725429">
        <w:rPr>
          <w:b/>
          <w:color w:val="000000"/>
        </w:rPr>
        <w:t>Union des marchés de capitaux</w:t>
      </w:r>
      <w:r>
        <w:rPr>
          <w:color w:val="000000"/>
        </w:rPr>
        <w:t> </w:t>
      </w:r>
      <w:r w:rsidRPr="00725429">
        <w:rPr>
          <w:color w:val="000000"/>
        </w:rPr>
        <w:t>(UMC)</w:t>
      </w:r>
      <w:r>
        <w:rPr>
          <w:color w:val="000000"/>
        </w:rPr>
        <w:t xml:space="preserve"> est essentielle pour renforcer l’intégration financière en Europe. Des progrès significatifs ont été également réalisés depuis son lancement, tant en matière de titrisation (simple, transparente et standardisée), qu’en matière de finance durable (paquet finance verte, cf. partie dédiée ci-après) et d’épargne retraite (mise en place d’un produit pan-européen transférable d’un Etat membre à l’autre). </w:t>
      </w:r>
    </w:p>
    <w:p w14:paraId="09256CD5" w14:textId="77777777" w:rsidR="00725429" w:rsidRDefault="00725429" w:rsidP="00725429">
      <w:pPr>
        <w:pStyle w:val="NormalWeb"/>
        <w:shd w:val="clear" w:color="auto" w:fill="FFFFFF"/>
        <w:spacing w:before="0" w:beforeAutospacing="0" w:after="0" w:afterAutospacing="0"/>
        <w:ind w:left="708"/>
        <w:jc w:val="both"/>
        <w:rPr>
          <w:color w:val="000000"/>
        </w:rPr>
      </w:pPr>
    </w:p>
    <w:p w14:paraId="7955EF61" w14:textId="77777777" w:rsidR="00725429" w:rsidRPr="00725429" w:rsidRDefault="00725429" w:rsidP="00725429">
      <w:pPr>
        <w:pStyle w:val="NormalWeb"/>
        <w:shd w:val="clear" w:color="auto" w:fill="FFFFFF"/>
        <w:spacing w:before="0" w:beforeAutospacing="0" w:after="0" w:afterAutospacing="0"/>
        <w:ind w:left="708"/>
        <w:jc w:val="both"/>
        <w:rPr>
          <w:b/>
          <w:iCs/>
          <w:color w:val="000000"/>
        </w:rPr>
      </w:pPr>
      <w:r w:rsidRPr="00725429">
        <w:rPr>
          <w:b/>
          <w:iCs/>
          <w:color w:val="000000"/>
        </w:rPr>
        <w:lastRenderedPageBreak/>
        <w:t>Position du Groupe</w:t>
      </w:r>
    </w:p>
    <w:p w14:paraId="7748D5D0" w14:textId="77777777" w:rsidR="00725429" w:rsidRDefault="00725429" w:rsidP="00725429">
      <w:pPr>
        <w:pStyle w:val="NormalWeb"/>
        <w:shd w:val="clear" w:color="auto" w:fill="FFFFFF"/>
        <w:spacing w:before="0" w:beforeAutospacing="0" w:after="0" w:afterAutospacing="0"/>
        <w:ind w:left="708"/>
        <w:jc w:val="both"/>
        <w:rPr>
          <w:color w:val="000000"/>
        </w:rPr>
      </w:pPr>
    </w:p>
    <w:p w14:paraId="0A64EFBC" w14:textId="03052428" w:rsidR="00725429" w:rsidRPr="00725429" w:rsidRDefault="00725429" w:rsidP="00725429">
      <w:pPr>
        <w:pStyle w:val="NormalWeb"/>
        <w:shd w:val="clear" w:color="auto" w:fill="FFFFFF"/>
        <w:spacing w:before="0" w:beforeAutospacing="0" w:after="0" w:afterAutospacing="0"/>
        <w:ind w:left="708"/>
        <w:jc w:val="both"/>
        <w:rPr>
          <w:color w:val="000000"/>
        </w:rPr>
      </w:pPr>
      <w:r>
        <w:rPr>
          <w:color w:val="000000"/>
        </w:rPr>
        <w:t>Des progrès vers l’harmonisation des régimes d’insolvabilité doivent toutefois encore être réalisés afin de faciliter les investissements transfrontières. En matière de digitalisation des services financiers (l’un des pans de l’UMC), nous encourageons l’idée de favoriser un cadre réglementaire qui puisse accompagner les innovations en assurant une égalité de concurrence entre acteurs traditionnels (banques) et nouveaux entrants (Fintech), tout en veillant à assurer un degré optimal de protection des consommateurs. Enfin, des marchés de capitaux intégrés nécessitent également une supervision efficace : là aussi, grâce aux résultats de la récente revue des autorités européennes de surveillance (ESA), des étapes importantes ont été franchies vers un renforcement de leur rôle. Outre le renforcement du rôle de l’ESMA, le Groupe salue celui de l’EBA sur les questions relatives à la lutte contre le blanchiment d’argent et le financement du terrorisme, domaine dans lequel les améliorations du cadre européen sont nécessaires.</w:t>
      </w:r>
    </w:p>
    <w:p w14:paraId="6C8DD17D" w14:textId="77777777" w:rsidR="00725429" w:rsidRDefault="00725429" w:rsidP="00725429">
      <w:pPr>
        <w:pStyle w:val="Paragraphedeliste"/>
        <w:rPr>
          <w:b/>
          <w:bCs/>
          <w:color w:val="000000" w:themeColor="text1"/>
        </w:rPr>
      </w:pPr>
    </w:p>
    <w:p w14:paraId="0367D537" w14:textId="454A150D" w:rsidR="000244F1" w:rsidRPr="000244F1" w:rsidRDefault="00E4150E" w:rsidP="000244F1">
      <w:pPr>
        <w:pStyle w:val="Paragraphedeliste"/>
        <w:numPr>
          <w:ilvl w:val="0"/>
          <w:numId w:val="43"/>
        </w:numPr>
        <w:rPr>
          <w:b/>
          <w:bCs/>
          <w:color w:val="000000" w:themeColor="text1"/>
        </w:rPr>
      </w:pPr>
      <w:r>
        <w:rPr>
          <w:b/>
          <w:bCs/>
          <w:color w:val="000000" w:themeColor="text1"/>
        </w:rPr>
        <w:t xml:space="preserve">FINANCE DURABLE </w:t>
      </w:r>
    </w:p>
    <w:p w14:paraId="6085D118" w14:textId="6AC210F4" w:rsidR="00FC6915" w:rsidRDefault="00FC6915" w:rsidP="002B36A9">
      <w:pPr>
        <w:rPr>
          <w:color w:val="1F497D"/>
          <w:lang w:val="fr-BE"/>
        </w:rPr>
      </w:pPr>
    </w:p>
    <w:p w14:paraId="5BA6BF37" w14:textId="58DC2118" w:rsidR="002B36A9" w:rsidRPr="000F62C6" w:rsidRDefault="00FC6915" w:rsidP="00FC6915">
      <w:pPr>
        <w:ind w:left="708"/>
        <w:rPr>
          <w:rFonts w:asciiTheme="minorHAnsi" w:hAnsiTheme="minorHAnsi" w:cstheme="minorHAnsi"/>
          <w:b/>
        </w:rPr>
      </w:pPr>
      <w:r w:rsidRPr="000F62C6">
        <w:rPr>
          <w:rFonts w:asciiTheme="minorHAnsi" w:hAnsiTheme="minorHAnsi" w:cstheme="minorHAnsi"/>
          <w:b/>
          <w:iCs/>
        </w:rPr>
        <w:t>Etat des lieux</w:t>
      </w:r>
    </w:p>
    <w:p w14:paraId="25B2D604" w14:textId="77777777" w:rsidR="002B36A9" w:rsidRPr="00E4150E" w:rsidRDefault="002B36A9" w:rsidP="00FC6915">
      <w:pPr>
        <w:ind w:left="708"/>
        <w:rPr>
          <w:rFonts w:asciiTheme="minorHAnsi" w:hAnsiTheme="minorHAnsi" w:cstheme="minorHAnsi"/>
        </w:rPr>
      </w:pPr>
    </w:p>
    <w:p w14:paraId="08B37CA2" w14:textId="19B143C4" w:rsidR="00FC6915" w:rsidRPr="00E4150E" w:rsidRDefault="00FC6915" w:rsidP="002B36A9">
      <w:pPr>
        <w:ind w:left="708"/>
        <w:jc w:val="both"/>
        <w:rPr>
          <w:rFonts w:asciiTheme="minorHAnsi" w:hAnsiTheme="minorHAnsi" w:cstheme="minorHAnsi"/>
          <w:color w:val="000000"/>
        </w:rPr>
      </w:pPr>
      <w:r w:rsidRPr="00E4150E">
        <w:rPr>
          <w:rFonts w:asciiTheme="minorHAnsi" w:hAnsiTheme="minorHAnsi" w:cstheme="minorHAnsi"/>
          <w:color w:val="000000"/>
        </w:rPr>
        <w:t>Nous soutenons pleinement les objectifs du paquet finance durable publié par la Co</w:t>
      </w:r>
      <w:r w:rsidR="00E4150E">
        <w:rPr>
          <w:rFonts w:asciiTheme="minorHAnsi" w:hAnsiTheme="minorHAnsi" w:cstheme="minorHAnsi"/>
          <w:color w:val="000000"/>
        </w:rPr>
        <w:t xml:space="preserve">mmission européenne en mai 2018, destiné à </w:t>
      </w:r>
      <w:r w:rsidRPr="00E4150E">
        <w:rPr>
          <w:rFonts w:asciiTheme="minorHAnsi" w:hAnsiTheme="minorHAnsi" w:cstheme="minorHAnsi"/>
          <w:color w:val="000000"/>
        </w:rPr>
        <w:t xml:space="preserve">mobiliser davantage les investissements dans l'Union européenne (UE) </w:t>
      </w:r>
      <w:r w:rsidR="00E4150E">
        <w:rPr>
          <w:rFonts w:asciiTheme="minorHAnsi" w:hAnsiTheme="minorHAnsi" w:cstheme="minorHAnsi"/>
          <w:color w:val="000000"/>
        </w:rPr>
        <w:t xml:space="preserve">afin </w:t>
      </w:r>
      <w:r w:rsidRPr="00E4150E">
        <w:rPr>
          <w:rFonts w:asciiTheme="minorHAnsi" w:hAnsiTheme="minorHAnsi" w:cstheme="minorHAnsi"/>
          <w:color w:val="000000"/>
        </w:rPr>
        <w:t>de parvenir à une croissance durable, à la création d'emplois et à la prospérité.</w:t>
      </w:r>
    </w:p>
    <w:p w14:paraId="68C11071" w14:textId="77777777" w:rsidR="00FC6915" w:rsidRPr="00E4150E" w:rsidRDefault="00FC6915" w:rsidP="002B36A9">
      <w:pPr>
        <w:ind w:left="708"/>
        <w:jc w:val="both"/>
        <w:rPr>
          <w:rFonts w:asciiTheme="minorHAnsi" w:hAnsiTheme="minorHAnsi" w:cstheme="minorHAnsi"/>
          <w:color w:val="000000"/>
        </w:rPr>
      </w:pPr>
    </w:p>
    <w:p w14:paraId="51A0A4BA" w14:textId="60A88F98" w:rsidR="00FC6915" w:rsidRPr="00E4150E" w:rsidRDefault="00FC6915" w:rsidP="002B36A9">
      <w:pPr>
        <w:ind w:left="708"/>
        <w:jc w:val="both"/>
        <w:rPr>
          <w:rFonts w:asciiTheme="minorHAnsi" w:hAnsiTheme="minorHAnsi" w:cstheme="minorHAnsi"/>
          <w:color w:val="000000"/>
        </w:rPr>
      </w:pPr>
      <w:r w:rsidRPr="00E4150E">
        <w:rPr>
          <w:rFonts w:asciiTheme="minorHAnsi" w:hAnsiTheme="minorHAnsi" w:cstheme="minorHAnsi"/>
          <w:color w:val="000000"/>
        </w:rPr>
        <w:t>Société Générale soutient l'approche pragmatique car progressive de la Commission européenne, qui consiste à se concentrer d'abord sur les questions environnementales, en particulier sur l'atténuation du changement climatique et l'adaptation à c</w:t>
      </w:r>
      <w:r w:rsidR="00E4150E">
        <w:rPr>
          <w:rFonts w:asciiTheme="minorHAnsi" w:hAnsiTheme="minorHAnsi" w:cstheme="minorHAnsi"/>
          <w:color w:val="000000"/>
        </w:rPr>
        <w:t>elui-ci, avant de développer à plus l</w:t>
      </w:r>
      <w:r w:rsidRPr="00E4150E">
        <w:rPr>
          <w:rFonts w:asciiTheme="minorHAnsi" w:hAnsiTheme="minorHAnsi" w:cstheme="minorHAnsi"/>
          <w:color w:val="000000"/>
        </w:rPr>
        <w:t xml:space="preserve">ong terme une approche holistique incluant </w:t>
      </w:r>
      <w:r w:rsidR="005850EB">
        <w:rPr>
          <w:rFonts w:asciiTheme="minorHAnsi" w:hAnsiTheme="minorHAnsi" w:cstheme="minorHAnsi"/>
          <w:color w:val="000000"/>
        </w:rPr>
        <w:t xml:space="preserve">cette fois-ci </w:t>
      </w:r>
      <w:r w:rsidRPr="00E4150E">
        <w:rPr>
          <w:rFonts w:asciiTheme="minorHAnsi" w:hAnsiTheme="minorHAnsi" w:cstheme="minorHAnsi"/>
          <w:color w:val="000000"/>
        </w:rPr>
        <w:t>les fac</w:t>
      </w:r>
      <w:r w:rsidR="00E4150E">
        <w:rPr>
          <w:rFonts w:asciiTheme="minorHAnsi" w:hAnsiTheme="minorHAnsi" w:cstheme="minorHAnsi"/>
          <w:color w:val="000000"/>
        </w:rPr>
        <w:t>teurs sociaux et de gouvernance</w:t>
      </w:r>
      <w:r w:rsidRPr="00E4150E">
        <w:rPr>
          <w:rFonts w:asciiTheme="minorHAnsi" w:hAnsiTheme="minorHAnsi" w:cstheme="minorHAnsi"/>
          <w:color w:val="000000"/>
        </w:rPr>
        <w:t xml:space="preserve">. </w:t>
      </w:r>
    </w:p>
    <w:p w14:paraId="1ADC6012" w14:textId="77777777" w:rsidR="00FC6915" w:rsidRPr="00E4150E" w:rsidRDefault="00FC6915" w:rsidP="002B36A9">
      <w:pPr>
        <w:ind w:left="708"/>
        <w:jc w:val="both"/>
        <w:rPr>
          <w:rFonts w:asciiTheme="minorHAnsi" w:hAnsiTheme="minorHAnsi" w:cstheme="minorHAnsi"/>
          <w:i/>
          <w:iCs/>
        </w:rPr>
      </w:pPr>
    </w:p>
    <w:p w14:paraId="4B45BB15" w14:textId="102E44C5" w:rsidR="002B36A9" w:rsidRPr="000F62C6" w:rsidRDefault="00FC6915" w:rsidP="002B36A9">
      <w:pPr>
        <w:ind w:left="708"/>
        <w:jc w:val="both"/>
        <w:rPr>
          <w:rFonts w:asciiTheme="minorHAnsi" w:hAnsiTheme="minorHAnsi" w:cstheme="minorHAnsi"/>
          <w:b/>
          <w:iCs/>
        </w:rPr>
      </w:pPr>
      <w:r w:rsidRPr="000F62C6">
        <w:rPr>
          <w:rFonts w:asciiTheme="minorHAnsi" w:hAnsiTheme="minorHAnsi" w:cstheme="minorHAnsi"/>
          <w:b/>
          <w:iCs/>
        </w:rPr>
        <w:t>Position du Groupe</w:t>
      </w:r>
    </w:p>
    <w:p w14:paraId="5A10EB64" w14:textId="77777777" w:rsidR="002B36A9" w:rsidRPr="00E4150E" w:rsidRDefault="002B36A9" w:rsidP="002B36A9">
      <w:pPr>
        <w:ind w:left="708"/>
        <w:jc w:val="both"/>
        <w:rPr>
          <w:rFonts w:asciiTheme="minorHAnsi" w:hAnsiTheme="minorHAnsi" w:cstheme="minorHAnsi"/>
          <w:color w:val="000000"/>
        </w:rPr>
      </w:pPr>
    </w:p>
    <w:p w14:paraId="135E469E" w14:textId="05E65A36" w:rsidR="00FC6915" w:rsidRDefault="00FC6915" w:rsidP="002B36A9">
      <w:pPr>
        <w:ind w:left="708"/>
        <w:jc w:val="both"/>
        <w:rPr>
          <w:rFonts w:asciiTheme="minorHAnsi" w:hAnsiTheme="minorHAnsi" w:cstheme="minorHAnsi"/>
          <w:color w:val="000000"/>
        </w:rPr>
      </w:pPr>
      <w:r w:rsidRPr="00E4150E">
        <w:rPr>
          <w:rFonts w:asciiTheme="minorHAnsi" w:hAnsiTheme="minorHAnsi" w:cstheme="minorHAnsi"/>
          <w:color w:val="000000"/>
        </w:rPr>
        <w:t>Sur le plan environnemental, Société Générale estime que l'objectif ultime de toutes les initiatives de l'UE en matièr</w:t>
      </w:r>
      <w:r w:rsidR="00E4150E">
        <w:rPr>
          <w:rFonts w:asciiTheme="minorHAnsi" w:hAnsiTheme="minorHAnsi" w:cstheme="minorHAnsi"/>
          <w:color w:val="000000"/>
        </w:rPr>
        <w:t>e de financement durable doit être</w:t>
      </w:r>
      <w:r w:rsidRPr="00E4150E">
        <w:rPr>
          <w:rFonts w:asciiTheme="minorHAnsi" w:hAnsiTheme="minorHAnsi" w:cstheme="minorHAnsi"/>
          <w:color w:val="000000"/>
        </w:rPr>
        <w:t xml:space="preserve"> d'inciter davantage d'investissements publics et privés</w:t>
      </w:r>
      <w:r w:rsidR="00E4150E">
        <w:rPr>
          <w:rFonts w:asciiTheme="minorHAnsi" w:hAnsiTheme="minorHAnsi" w:cstheme="minorHAnsi"/>
          <w:color w:val="000000"/>
        </w:rPr>
        <w:t>,</w:t>
      </w:r>
      <w:r w:rsidRPr="00E4150E">
        <w:rPr>
          <w:rFonts w:asciiTheme="minorHAnsi" w:hAnsiTheme="minorHAnsi" w:cstheme="minorHAnsi"/>
          <w:color w:val="000000"/>
        </w:rPr>
        <w:t xml:space="preserve"> sans </w:t>
      </w:r>
      <w:r w:rsidR="00E4150E">
        <w:rPr>
          <w:rFonts w:asciiTheme="minorHAnsi" w:hAnsiTheme="minorHAnsi" w:cstheme="minorHAnsi"/>
          <w:color w:val="000000"/>
        </w:rPr>
        <w:t xml:space="preserve">toutefois </w:t>
      </w:r>
      <w:r w:rsidRPr="00E4150E">
        <w:rPr>
          <w:rFonts w:asciiTheme="minorHAnsi" w:hAnsiTheme="minorHAnsi" w:cstheme="minorHAnsi"/>
          <w:color w:val="000000"/>
        </w:rPr>
        <w:t xml:space="preserve">compromettre les efforts de transition actuels et les initiatives vers une économie sobre en carbone. La taxonomie </w:t>
      </w:r>
      <w:r w:rsidR="00E4150E">
        <w:rPr>
          <w:rFonts w:asciiTheme="minorHAnsi" w:hAnsiTheme="minorHAnsi" w:cstheme="minorHAnsi"/>
          <w:color w:val="000000"/>
        </w:rPr>
        <w:t>constitue</w:t>
      </w:r>
      <w:r w:rsidRPr="00E4150E">
        <w:rPr>
          <w:rFonts w:asciiTheme="minorHAnsi" w:hAnsiTheme="minorHAnsi" w:cstheme="minorHAnsi"/>
          <w:color w:val="000000"/>
        </w:rPr>
        <w:t xml:space="preserve"> un outil très utile </w:t>
      </w:r>
      <w:r w:rsidR="00E4150E">
        <w:rPr>
          <w:rFonts w:asciiTheme="minorHAnsi" w:hAnsiTheme="minorHAnsi" w:cstheme="minorHAnsi"/>
          <w:color w:val="000000"/>
        </w:rPr>
        <w:t>afin de</w:t>
      </w:r>
      <w:r w:rsidRPr="00E4150E">
        <w:rPr>
          <w:rFonts w:asciiTheme="minorHAnsi" w:hAnsiTheme="minorHAnsi" w:cstheme="minorHAnsi"/>
          <w:color w:val="000000"/>
        </w:rPr>
        <w:t xml:space="preserve"> permettre aux acteurs du marché d’évaluer la durabilité des activités des entreprises. </w:t>
      </w:r>
      <w:r w:rsidR="005850EB">
        <w:rPr>
          <w:rFonts w:asciiTheme="minorHAnsi" w:hAnsiTheme="minorHAnsi" w:cstheme="minorHAnsi"/>
          <w:color w:val="000000"/>
        </w:rPr>
        <w:t>Si celle-ci</w:t>
      </w:r>
      <w:r w:rsidR="00E4150E">
        <w:rPr>
          <w:rFonts w:asciiTheme="minorHAnsi" w:hAnsiTheme="minorHAnsi" w:cstheme="minorHAnsi"/>
          <w:color w:val="000000"/>
        </w:rPr>
        <w:t xml:space="preserve"> constituera </w:t>
      </w:r>
      <w:r w:rsidR="005850EB">
        <w:rPr>
          <w:rFonts w:asciiTheme="minorHAnsi" w:hAnsiTheme="minorHAnsi" w:cstheme="minorHAnsi"/>
          <w:color w:val="000000"/>
        </w:rPr>
        <w:t>sans aucun doute</w:t>
      </w:r>
      <w:r w:rsidRPr="00E4150E">
        <w:rPr>
          <w:rFonts w:asciiTheme="minorHAnsi" w:hAnsiTheme="minorHAnsi" w:cstheme="minorHAnsi"/>
          <w:color w:val="000000"/>
        </w:rPr>
        <w:t xml:space="preserve"> une référence pour élaborer une</w:t>
      </w:r>
      <w:r w:rsidR="00E4150E">
        <w:rPr>
          <w:rFonts w:asciiTheme="minorHAnsi" w:hAnsiTheme="minorHAnsi" w:cstheme="minorHAnsi"/>
          <w:color w:val="000000"/>
        </w:rPr>
        <w:t xml:space="preserve"> véritable</w:t>
      </w:r>
      <w:r w:rsidRPr="00E4150E">
        <w:rPr>
          <w:rFonts w:asciiTheme="minorHAnsi" w:hAnsiTheme="minorHAnsi" w:cstheme="minorHAnsi"/>
          <w:color w:val="000000"/>
        </w:rPr>
        <w:t xml:space="preserve"> stratégie d'investissement durable, </w:t>
      </w:r>
      <w:r w:rsidR="005850EB">
        <w:rPr>
          <w:rFonts w:asciiTheme="minorHAnsi" w:hAnsiTheme="minorHAnsi" w:cstheme="minorHAnsi"/>
          <w:color w:val="000000"/>
        </w:rPr>
        <w:t xml:space="preserve">elle ne doit pas pour autant devenir l’unique et exclusive référence en la matière. </w:t>
      </w:r>
    </w:p>
    <w:p w14:paraId="45F8EF61" w14:textId="77777777" w:rsidR="00E4150E" w:rsidRPr="00E4150E" w:rsidRDefault="00E4150E" w:rsidP="002B36A9">
      <w:pPr>
        <w:ind w:left="708"/>
        <w:jc w:val="both"/>
        <w:rPr>
          <w:rFonts w:asciiTheme="minorHAnsi" w:hAnsiTheme="minorHAnsi" w:cstheme="minorHAnsi"/>
          <w:color w:val="000000"/>
        </w:rPr>
      </w:pPr>
    </w:p>
    <w:p w14:paraId="22C7D818" w14:textId="7E7EB421" w:rsidR="00FC6915" w:rsidRPr="00E4150E" w:rsidRDefault="00FC6915" w:rsidP="002B36A9">
      <w:pPr>
        <w:ind w:left="708"/>
        <w:jc w:val="both"/>
        <w:rPr>
          <w:rFonts w:asciiTheme="minorHAnsi" w:hAnsiTheme="minorHAnsi" w:cstheme="minorHAnsi"/>
          <w:color w:val="000000"/>
        </w:rPr>
      </w:pPr>
      <w:r w:rsidRPr="00E4150E">
        <w:rPr>
          <w:rFonts w:asciiTheme="minorHAnsi" w:hAnsiTheme="minorHAnsi" w:cstheme="minorHAnsi"/>
          <w:color w:val="000000"/>
        </w:rPr>
        <w:t xml:space="preserve">Pour atteindre cet objectif, </w:t>
      </w:r>
      <w:r w:rsidR="005850EB">
        <w:rPr>
          <w:rFonts w:asciiTheme="minorHAnsi" w:hAnsiTheme="minorHAnsi" w:cstheme="minorHAnsi"/>
          <w:color w:val="000000"/>
        </w:rPr>
        <w:t>assurer un fort degré de</w:t>
      </w:r>
      <w:r w:rsidRPr="00E4150E">
        <w:rPr>
          <w:rFonts w:asciiTheme="minorHAnsi" w:hAnsiTheme="minorHAnsi" w:cstheme="minorHAnsi"/>
          <w:color w:val="000000"/>
        </w:rPr>
        <w:t xml:space="preserve"> cohérence entre les </w:t>
      </w:r>
      <w:r w:rsidR="005850EB">
        <w:rPr>
          <w:rFonts w:asciiTheme="minorHAnsi" w:hAnsiTheme="minorHAnsi" w:cstheme="minorHAnsi"/>
          <w:color w:val="000000"/>
        </w:rPr>
        <w:t xml:space="preserve">trois </w:t>
      </w:r>
      <w:r w:rsidRPr="00E4150E">
        <w:rPr>
          <w:rFonts w:asciiTheme="minorHAnsi" w:hAnsiTheme="minorHAnsi" w:cstheme="minorHAnsi"/>
          <w:color w:val="000000"/>
        </w:rPr>
        <w:t>propositions législatives</w:t>
      </w:r>
      <w:r w:rsidR="005850EB">
        <w:rPr>
          <w:rFonts w:asciiTheme="minorHAnsi" w:hAnsiTheme="minorHAnsi" w:cstheme="minorHAnsi"/>
          <w:color w:val="000000"/>
        </w:rPr>
        <w:t xml:space="preserve"> qui composent le paquet finance durable</w:t>
      </w:r>
      <w:r w:rsidRPr="00E4150E">
        <w:rPr>
          <w:rFonts w:asciiTheme="minorHAnsi" w:hAnsiTheme="minorHAnsi" w:cstheme="minorHAnsi"/>
          <w:color w:val="000000"/>
        </w:rPr>
        <w:t xml:space="preserve"> est </w:t>
      </w:r>
      <w:r w:rsidR="005850EB">
        <w:rPr>
          <w:rFonts w:asciiTheme="minorHAnsi" w:hAnsiTheme="minorHAnsi" w:cstheme="minorHAnsi"/>
          <w:color w:val="000000"/>
        </w:rPr>
        <w:t>essentiel</w:t>
      </w:r>
      <w:r w:rsidRPr="00E4150E">
        <w:rPr>
          <w:rFonts w:asciiTheme="minorHAnsi" w:hAnsiTheme="minorHAnsi" w:cstheme="minorHAnsi"/>
          <w:color w:val="000000"/>
        </w:rPr>
        <w:t xml:space="preserve">, en particulier pour définir un périmètre approprié en termes d'acteurs, de produits financiers et d'activités à couvrir, ainsi que pour </w:t>
      </w:r>
      <w:r w:rsidR="005850EB">
        <w:rPr>
          <w:rFonts w:asciiTheme="minorHAnsi" w:hAnsiTheme="minorHAnsi" w:cstheme="minorHAnsi"/>
          <w:color w:val="000000"/>
        </w:rPr>
        <w:t>définir les notions</w:t>
      </w:r>
      <w:r w:rsidRPr="00E4150E">
        <w:rPr>
          <w:rFonts w:asciiTheme="minorHAnsi" w:hAnsiTheme="minorHAnsi" w:cstheme="minorHAnsi"/>
          <w:color w:val="000000"/>
        </w:rPr>
        <w:t xml:space="preserve"> d'investissement durable et de risque </w:t>
      </w:r>
      <w:r w:rsidR="005850EB">
        <w:rPr>
          <w:rFonts w:asciiTheme="minorHAnsi" w:hAnsiTheme="minorHAnsi" w:cstheme="minorHAnsi"/>
          <w:color w:val="000000"/>
        </w:rPr>
        <w:t>en matière de</w:t>
      </w:r>
      <w:r w:rsidRPr="00E4150E">
        <w:rPr>
          <w:rFonts w:asciiTheme="minorHAnsi" w:hAnsiTheme="minorHAnsi" w:cstheme="minorHAnsi"/>
          <w:color w:val="000000"/>
        </w:rPr>
        <w:t xml:space="preserve"> durabilité. C’est une condition essentielle pour garantir des conditions de concurrence équitables et une réglementation qui promeu</w:t>
      </w:r>
      <w:r w:rsidR="005850EB">
        <w:rPr>
          <w:rFonts w:asciiTheme="minorHAnsi" w:hAnsiTheme="minorHAnsi" w:cstheme="minorHAnsi"/>
          <w:color w:val="000000"/>
        </w:rPr>
        <w:t>ve</w:t>
      </w:r>
      <w:r w:rsidRPr="00E4150E">
        <w:rPr>
          <w:rFonts w:asciiTheme="minorHAnsi" w:hAnsiTheme="minorHAnsi" w:cstheme="minorHAnsi"/>
          <w:color w:val="000000"/>
        </w:rPr>
        <w:t xml:space="preserve"> </w:t>
      </w:r>
      <w:r w:rsidR="001C4927">
        <w:rPr>
          <w:rFonts w:asciiTheme="minorHAnsi" w:hAnsiTheme="minorHAnsi" w:cstheme="minorHAnsi"/>
          <w:color w:val="000000"/>
        </w:rPr>
        <w:t xml:space="preserve">véritablement </w:t>
      </w:r>
      <w:r w:rsidRPr="00E4150E">
        <w:rPr>
          <w:rFonts w:asciiTheme="minorHAnsi" w:hAnsiTheme="minorHAnsi" w:cstheme="minorHAnsi"/>
          <w:color w:val="000000"/>
        </w:rPr>
        <w:t xml:space="preserve">les changements de comportements escomptés. </w:t>
      </w:r>
    </w:p>
    <w:p w14:paraId="0130CFBF" w14:textId="56235383" w:rsidR="00FC6915" w:rsidRPr="00E4150E" w:rsidRDefault="00FC6915" w:rsidP="004112FF">
      <w:pPr>
        <w:rPr>
          <w:rFonts w:asciiTheme="minorHAnsi" w:hAnsiTheme="minorHAnsi" w:cstheme="minorHAnsi"/>
          <w:b/>
          <w:bCs/>
          <w:color w:val="000000" w:themeColor="text1"/>
        </w:rPr>
      </w:pPr>
    </w:p>
    <w:p w14:paraId="38766716" w14:textId="315D9088" w:rsidR="00F93EF9" w:rsidRPr="004112FF" w:rsidRDefault="00F93EF9" w:rsidP="004112FF">
      <w:pPr>
        <w:rPr>
          <w:b/>
          <w:bCs/>
          <w:color w:val="000000" w:themeColor="text1"/>
        </w:rPr>
      </w:pPr>
    </w:p>
    <w:p w14:paraId="474DC0D5" w14:textId="650BAE20" w:rsidR="003D1534" w:rsidRPr="000F62C6" w:rsidRDefault="00E4150E" w:rsidP="000F62C6">
      <w:pPr>
        <w:jc w:val="both"/>
        <w:rPr>
          <w:b/>
          <w:bCs/>
          <w:color w:val="000000" w:themeColor="text1"/>
          <w:sz w:val="24"/>
        </w:rPr>
      </w:pPr>
      <w:r w:rsidRPr="000F62C6">
        <w:rPr>
          <w:b/>
          <w:color w:val="C00000"/>
          <w:sz w:val="24"/>
        </w:rPr>
        <w:t>SECTION 4</w:t>
      </w:r>
      <w:r w:rsidR="00341526" w:rsidRPr="00341526">
        <w:rPr>
          <w:b/>
          <w:color w:val="C00000"/>
          <w:sz w:val="24"/>
        </w:rPr>
        <w:t>.</w:t>
      </w:r>
      <w:r w:rsidR="000F62C6">
        <w:rPr>
          <w:b/>
          <w:color w:val="C00000"/>
          <w:sz w:val="24"/>
        </w:rPr>
        <w:t xml:space="preserve"> </w:t>
      </w:r>
      <w:r w:rsidR="00C415D1" w:rsidRPr="000F62C6">
        <w:rPr>
          <w:b/>
          <w:color w:val="C00000"/>
          <w:sz w:val="24"/>
        </w:rPr>
        <w:t>LISTE DES ASSOCIATIONS PAR LESQUELLES NOUS EFFECTUONS NOS ACTIVITES DE REPRESENTATION D’INTERETS</w:t>
      </w:r>
      <w:r w:rsidR="00C415D1" w:rsidRPr="000F62C6">
        <w:rPr>
          <w:b/>
          <w:bCs/>
          <w:color w:val="000000" w:themeColor="text1"/>
          <w:sz w:val="24"/>
        </w:rPr>
        <w:t xml:space="preserve"> </w:t>
      </w:r>
    </w:p>
    <w:p w14:paraId="7CFD2016" w14:textId="77777777" w:rsidR="003D1534" w:rsidRPr="000F62C6" w:rsidRDefault="003D1534" w:rsidP="000F62C6">
      <w:pPr>
        <w:rPr>
          <w:b/>
          <w:bCs/>
          <w:color w:val="000000" w:themeColor="text1"/>
        </w:rPr>
      </w:pPr>
    </w:p>
    <w:p w14:paraId="1ABC8690" w14:textId="58793FE8" w:rsidR="00815083" w:rsidRDefault="00815083" w:rsidP="00D53E70">
      <w:pPr>
        <w:pStyle w:val="Paragraphedeliste"/>
        <w:ind w:left="360"/>
        <w:rPr>
          <w:b/>
          <w:bCs/>
          <w:color w:val="000000" w:themeColor="text1"/>
        </w:rPr>
      </w:pPr>
      <w:r>
        <w:rPr>
          <w:b/>
          <w:bCs/>
          <w:color w:val="000000" w:themeColor="text1"/>
        </w:rPr>
        <w:t xml:space="preserve">A l’échelle internationale </w:t>
      </w:r>
    </w:p>
    <w:p w14:paraId="3E9593B4" w14:textId="77777777" w:rsidR="00760812" w:rsidRDefault="00760812" w:rsidP="00D53E70">
      <w:pPr>
        <w:pStyle w:val="Paragraphedeliste"/>
        <w:ind w:left="360"/>
        <w:rPr>
          <w:b/>
          <w:bCs/>
          <w:color w:val="000000" w:themeColor="text1"/>
        </w:rPr>
      </w:pPr>
    </w:p>
    <w:p w14:paraId="2BCAF3BD" w14:textId="77777777" w:rsidR="00101603" w:rsidRPr="00101603" w:rsidRDefault="00101603" w:rsidP="00101603">
      <w:pPr>
        <w:pStyle w:val="Paragraphedeliste"/>
        <w:numPr>
          <w:ilvl w:val="0"/>
          <w:numId w:val="41"/>
        </w:numPr>
        <w:rPr>
          <w:bCs/>
          <w:color w:val="000000" w:themeColor="text1"/>
        </w:rPr>
      </w:pPr>
      <w:r w:rsidRPr="00101603">
        <w:rPr>
          <w:bCs/>
          <w:color w:val="000000" w:themeColor="text1"/>
        </w:rPr>
        <w:t xml:space="preserve">Institut International d'Etudes Bancaires (IIEB) </w:t>
      </w:r>
    </w:p>
    <w:p w14:paraId="23F573CD" w14:textId="77777777" w:rsidR="00101603" w:rsidRPr="00101603" w:rsidRDefault="00101603" w:rsidP="00101603">
      <w:pPr>
        <w:pStyle w:val="Paragraphedeliste"/>
        <w:numPr>
          <w:ilvl w:val="0"/>
          <w:numId w:val="41"/>
        </w:numPr>
        <w:rPr>
          <w:bCs/>
          <w:color w:val="000000" w:themeColor="text1"/>
          <w:lang w:val="en-US"/>
        </w:rPr>
      </w:pPr>
      <w:r w:rsidRPr="00101603">
        <w:rPr>
          <w:bCs/>
          <w:color w:val="000000" w:themeColor="text1"/>
          <w:lang w:val="en-US"/>
        </w:rPr>
        <w:t>Institute of International Bankers (IIB)</w:t>
      </w:r>
    </w:p>
    <w:p w14:paraId="1A6846A8" w14:textId="77777777" w:rsidR="00101603" w:rsidRPr="00101603" w:rsidRDefault="00101603" w:rsidP="00101603">
      <w:pPr>
        <w:pStyle w:val="Paragraphedeliste"/>
        <w:numPr>
          <w:ilvl w:val="0"/>
          <w:numId w:val="41"/>
        </w:numPr>
        <w:rPr>
          <w:bCs/>
          <w:color w:val="000000" w:themeColor="text1"/>
          <w:lang w:val="en-US"/>
        </w:rPr>
      </w:pPr>
      <w:r w:rsidRPr="00101603">
        <w:rPr>
          <w:bCs/>
          <w:color w:val="000000" w:themeColor="text1"/>
          <w:lang w:val="en-US"/>
        </w:rPr>
        <w:t>Institute of International Finance (IIF)</w:t>
      </w:r>
    </w:p>
    <w:p w14:paraId="2D6B63F0" w14:textId="5FE0AC26" w:rsidR="00101603" w:rsidRPr="00101603" w:rsidRDefault="00101603" w:rsidP="00101603">
      <w:pPr>
        <w:pStyle w:val="Paragraphedeliste"/>
        <w:numPr>
          <w:ilvl w:val="0"/>
          <w:numId w:val="41"/>
        </w:numPr>
        <w:rPr>
          <w:bCs/>
          <w:color w:val="000000" w:themeColor="text1"/>
          <w:lang w:val="en-US"/>
        </w:rPr>
      </w:pPr>
      <w:r w:rsidRPr="00101603">
        <w:rPr>
          <w:bCs/>
          <w:color w:val="000000" w:themeColor="text1"/>
          <w:lang w:val="en-US"/>
        </w:rPr>
        <w:t>International Banking Federation (IBFed)</w:t>
      </w:r>
      <w:r w:rsidR="00EA5C49">
        <w:rPr>
          <w:bCs/>
          <w:color w:val="000000" w:themeColor="text1"/>
          <w:lang w:val="en-US"/>
        </w:rPr>
        <w:t>*</w:t>
      </w:r>
    </w:p>
    <w:p w14:paraId="07B377AD" w14:textId="137C46AA" w:rsidR="00101603" w:rsidRPr="000F62C6" w:rsidRDefault="00101603" w:rsidP="000F62C6">
      <w:pPr>
        <w:pStyle w:val="Paragraphedeliste"/>
        <w:numPr>
          <w:ilvl w:val="0"/>
          <w:numId w:val="41"/>
        </w:numPr>
        <w:rPr>
          <w:bCs/>
          <w:color w:val="000000" w:themeColor="text1"/>
          <w:lang w:val="en-US"/>
        </w:rPr>
      </w:pPr>
      <w:r w:rsidRPr="00101603">
        <w:rPr>
          <w:bCs/>
          <w:color w:val="000000" w:themeColor="text1"/>
          <w:lang w:val="en-US"/>
        </w:rPr>
        <w:lastRenderedPageBreak/>
        <w:t>International Capital Markets Association (ICMA)</w:t>
      </w:r>
    </w:p>
    <w:p w14:paraId="0A76505E" w14:textId="17A07434" w:rsidR="00101603" w:rsidRPr="000F62C6" w:rsidRDefault="00101603" w:rsidP="000F62C6">
      <w:pPr>
        <w:pStyle w:val="Paragraphedeliste"/>
        <w:numPr>
          <w:ilvl w:val="0"/>
          <w:numId w:val="41"/>
        </w:numPr>
        <w:rPr>
          <w:bCs/>
          <w:color w:val="000000" w:themeColor="text1"/>
          <w:lang w:val="en-US"/>
        </w:rPr>
      </w:pPr>
      <w:r w:rsidRPr="00101603">
        <w:rPr>
          <w:bCs/>
          <w:color w:val="000000" w:themeColor="text1"/>
          <w:lang w:val="en-US"/>
        </w:rPr>
        <w:t>International Swaps and Derivatives Association (ISDA)</w:t>
      </w:r>
    </w:p>
    <w:p w14:paraId="00295BCF" w14:textId="77777777" w:rsidR="00760812" w:rsidRPr="000F62C6" w:rsidRDefault="00760812" w:rsidP="00D53E70">
      <w:pPr>
        <w:pStyle w:val="Paragraphedeliste"/>
        <w:ind w:left="360"/>
        <w:rPr>
          <w:b/>
          <w:bCs/>
          <w:color w:val="000000" w:themeColor="text1"/>
          <w:lang w:val="en-US"/>
        </w:rPr>
      </w:pPr>
    </w:p>
    <w:p w14:paraId="0FBCBCBC" w14:textId="528CD738" w:rsidR="00D53E70" w:rsidRDefault="00D53E70" w:rsidP="00D53E70">
      <w:pPr>
        <w:pStyle w:val="Paragraphedeliste"/>
        <w:ind w:left="360"/>
        <w:rPr>
          <w:b/>
          <w:bCs/>
          <w:color w:val="000000" w:themeColor="text1"/>
        </w:rPr>
      </w:pPr>
      <w:r>
        <w:rPr>
          <w:b/>
          <w:bCs/>
          <w:color w:val="000000" w:themeColor="text1"/>
        </w:rPr>
        <w:t>Au niveau européen</w:t>
      </w:r>
    </w:p>
    <w:p w14:paraId="56A13E5B" w14:textId="77777777" w:rsidR="00D53E70" w:rsidRDefault="00D53E70" w:rsidP="00D53E70">
      <w:pPr>
        <w:pStyle w:val="Paragraphedeliste"/>
        <w:ind w:left="360"/>
        <w:rPr>
          <w:b/>
          <w:bCs/>
          <w:color w:val="000000" w:themeColor="text1"/>
        </w:rPr>
      </w:pPr>
    </w:p>
    <w:p w14:paraId="506EE266" w14:textId="77777777" w:rsidR="008E091A" w:rsidRPr="00760812" w:rsidRDefault="008E091A" w:rsidP="00760812">
      <w:pPr>
        <w:pStyle w:val="Paragraphedeliste"/>
        <w:numPr>
          <w:ilvl w:val="0"/>
          <w:numId w:val="42"/>
        </w:numPr>
        <w:rPr>
          <w:bCs/>
          <w:color w:val="000000" w:themeColor="text1"/>
        </w:rPr>
      </w:pPr>
      <w:r w:rsidRPr="00760812">
        <w:rPr>
          <w:bCs/>
          <w:color w:val="000000" w:themeColor="text1"/>
        </w:rPr>
        <w:t>Association for Financial Markets in EU (AFME)</w:t>
      </w:r>
    </w:p>
    <w:p w14:paraId="3B5DE116" w14:textId="77777777" w:rsidR="008E091A" w:rsidRPr="00760812" w:rsidRDefault="008E091A" w:rsidP="00760812">
      <w:pPr>
        <w:pStyle w:val="Paragraphedeliste"/>
        <w:numPr>
          <w:ilvl w:val="0"/>
          <w:numId w:val="42"/>
        </w:numPr>
        <w:rPr>
          <w:bCs/>
          <w:color w:val="000000" w:themeColor="text1"/>
        </w:rPr>
      </w:pPr>
      <w:r w:rsidRPr="00760812">
        <w:rPr>
          <w:bCs/>
          <w:color w:val="000000" w:themeColor="text1"/>
        </w:rPr>
        <w:t>Eurofi</w:t>
      </w:r>
    </w:p>
    <w:p w14:paraId="1B90EC93" w14:textId="77777777" w:rsidR="008E091A" w:rsidRPr="00760812" w:rsidRDefault="008E091A" w:rsidP="00760812">
      <w:pPr>
        <w:pStyle w:val="Paragraphedeliste"/>
        <w:numPr>
          <w:ilvl w:val="0"/>
          <w:numId w:val="42"/>
        </w:numPr>
        <w:rPr>
          <w:bCs/>
          <w:color w:val="000000" w:themeColor="text1"/>
          <w:lang w:val="en-US"/>
        </w:rPr>
      </w:pPr>
      <w:r w:rsidRPr="00760812">
        <w:rPr>
          <w:bCs/>
          <w:color w:val="000000" w:themeColor="text1"/>
          <w:lang w:val="en-US"/>
        </w:rPr>
        <w:t>European Financial Services Round Table (EFR)</w:t>
      </w:r>
    </w:p>
    <w:p w14:paraId="21D094A0" w14:textId="69D33DAF" w:rsidR="008E091A" w:rsidRPr="00760812" w:rsidRDefault="008E091A" w:rsidP="00760812">
      <w:pPr>
        <w:pStyle w:val="Paragraphedeliste"/>
        <w:numPr>
          <w:ilvl w:val="0"/>
          <w:numId w:val="42"/>
        </w:numPr>
        <w:rPr>
          <w:bCs/>
          <w:color w:val="000000" w:themeColor="text1"/>
          <w:lang w:val="en-US"/>
        </w:rPr>
      </w:pPr>
      <w:r w:rsidRPr="00760812">
        <w:rPr>
          <w:bCs/>
          <w:color w:val="000000" w:themeColor="text1"/>
          <w:lang w:val="en-US"/>
        </w:rPr>
        <w:t>European Fund and Asset Management Association (EFAMA)</w:t>
      </w:r>
    </w:p>
    <w:p w14:paraId="59E29411" w14:textId="0B5033DD" w:rsidR="008E091A" w:rsidRDefault="008E091A" w:rsidP="00760812">
      <w:pPr>
        <w:pStyle w:val="Paragraphedeliste"/>
        <w:numPr>
          <w:ilvl w:val="0"/>
          <w:numId w:val="42"/>
        </w:numPr>
        <w:rPr>
          <w:bCs/>
          <w:color w:val="000000" w:themeColor="text1"/>
        </w:rPr>
      </w:pPr>
      <w:r w:rsidRPr="00760812">
        <w:rPr>
          <w:bCs/>
          <w:color w:val="000000" w:themeColor="text1"/>
        </w:rPr>
        <w:t>European Parliament Financial Services Forum (EPFSF)</w:t>
      </w:r>
    </w:p>
    <w:p w14:paraId="1EE2661A" w14:textId="62B93286" w:rsidR="00760812" w:rsidRDefault="00760812" w:rsidP="00760812">
      <w:pPr>
        <w:pStyle w:val="Paragraphedeliste"/>
        <w:numPr>
          <w:ilvl w:val="0"/>
          <w:numId w:val="42"/>
        </w:numPr>
        <w:rPr>
          <w:bCs/>
          <w:color w:val="000000" w:themeColor="text1"/>
        </w:rPr>
      </w:pPr>
      <w:r>
        <w:rPr>
          <w:bCs/>
          <w:color w:val="000000" w:themeColor="text1"/>
        </w:rPr>
        <w:t xml:space="preserve">Fédération Bancaire Européenne (FBE) </w:t>
      </w:r>
      <w:r w:rsidR="00E4150E">
        <w:rPr>
          <w:bCs/>
          <w:color w:val="000000" w:themeColor="text1"/>
        </w:rPr>
        <w:t>*</w:t>
      </w:r>
    </w:p>
    <w:p w14:paraId="48FA3B98" w14:textId="77777777" w:rsidR="00760812" w:rsidRPr="000F62C6" w:rsidRDefault="00760812" w:rsidP="000F62C6">
      <w:pPr>
        <w:rPr>
          <w:b/>
          <w:bCs/>
          <w:color w:val="000000" w:themeColor="text1"/>
        </w:rPr>
      </w:pPr>
    </w:p>
    <w:p w14:paraId="0C0F64A6" w14:textId="4E3456FE" w:rsidR="00D53E70" w:rsidRDefault="00D53E70" w:rsidP="00D53E70">
      <w:pPr>
        <w:pStyle w:val="Paragraphedeliste"/>
        <w:ind w:left="360"/>
        <w:rPr>
          <w:b/>
          <w:bCs/>
          <w:color w:val="000000" w:themeColor="text1"/>
        </w:rPr>
      </w:pPr>
      <w:r>
        <w:rPr>
          <w:b/>
          <w:bCs/>
          <w:color w:val="000000" w:themeColor="text1"/>
        </w:rPr>
        <w:t>Au niveau français</w:t>
      </w:r>
    </w:p>
    <w:p w14:paraId="4594E861" w14:textId="77777777" w:rsidR="00D53E70" w:rsidRPr="00B17534" w:rsidRDefault="00D53E70" w:rsidP="00D53E70">
      <w:pPr>
        <w:pStyle w:val="Paragraphedeliste"/>
        <w:ind w:left="360"/>
        <w:rPr>
          <w:bCs/>
          <w:color w:val="000000" w:themeColor="text1"/>
        </w:rPr>
      </w:pPr>
    </w:p>
    <w:p w14:paraId="7CA3B44A" w14:textId="77777777" w:rsidR="00D53E70" w:rsidRPr="00B17534" w:rsidRDefault="00D53E70" w:rsidP="00D53E70">
      <w:pPr>
        <w:pStyle w:val="Paragraphedeliste"/>
        <w:numPr>
          <w:ilvl w:val="0"/>
          <w:numId w:val="36"/>
        </w:numPr>
        <w:ind w:left="1080"/>
        <w:rPr>
          <w:bCs/>
          <w:color w:val="000000" w:themeColor="text1"/>
        </w:rPr>
      </w:pPr>
      <w:r w:rsidRPr="00B17534">
        <w:rPr>
          <w:bCs/>
          <w:color w:val="000000" w:themeColor="text1"/>
        </w:rPr>
        <w:t>Association Française des Entreprises privées (AFEP)</w:t>
      </w:r>
    </w:p>
    <w:p w14:paraId="2F488008" w14:textId="1F882AFD" w:rsidR="00D53E70" w:rsidRPr="00B17534" w:rsidRDefault="00760812" w:rsidP="00D53E70">
      <w:pPr>
        <w:pStyle w:val="Paragraphedeliste"/>
        <w:numPr>
          <w:ilvl w:val="0"/>
          <w:numId w:val="36"/>
        </w:numPr>
        <w:ind w:left="1080"/>
        <w:rPr>
          <w:bCs/>
          <w:color w:val="000000" w:themeColor="text1"/>
        </w:rPr>
      </w:pPr>
      <w:r>
        <w:rPr>
          <w:bCs/>
          <w:color w:val="000000" w:themeColor="text1"/>
        </w:rPr>
        <w:t>Association F</w:t>
      </w:r>
      <w:r w:rsidR="00D53E70" w:rsidRPr="00B17534">
        <w:rPr>
          <w:bCs/>
          <w:color w:val="000000" w:themeColor="text1"/>
        </w:rPr>
        <w:t>rançaise des marchés financiers (AMAFI)</w:t>
      </w:r>
    </w:p>
    <w:p w14:paraId="0B648435" w14:textId="78E456CF" w:rsidR="00D53E70" w:rsidRDefault="00D53E70" w:rsidP="00D53E70">
      <w:pPr>
        <w:pStyle w:val="Paragraphedeliste"/>
        <w:numPr>
          <w:ilvl w:val="0"/>
          <w:numId w:val="36"/>
        </w:numPr>
        <w:ind w:left="1080"/>
        <w:rPr>
          <w:bCs/>
          <w:color w:val="000000" w:themeColor="text1"/>
        </w:rPr>
      </w:pPr>
      <w:r w:rsidRPr="00B17534">
        <w:rPr>
          <w:bCs/>
          <w:color w:val="000000" w:themeColor="text1"/>
        </w:rPr>
        <w:t>Association Française des professionnels des Titres (AFTI)</w:t>
      </w:r>
    </w:p>
    <w:p w14:paraId="2A309BCE" w14:textId="77777777" w:rsidR="00D53E70" w:rsidRPr="00B17534" w:rsidRDefault="00D53E70" w:rsidP="00D53E70">
      <w:pPr>
        <w:pStyle w:val="Paragraphedeliste"/>
        <w:numPr>
          <w:ilvl w:val="0"/>
          <w:numId w:val="36"/>
        </w:numPr>
        <w:ind w:left="1080"/>
        <w:rPr>
          <w:bCs/>
          <w:color w:val="000000" w:themeColor="text1"/>
        </w:rPr>
      </w:pPr>
      <w:r w:rsidRPr="00B17534">
        <w:rPr>
          <w:bCs/>
          <w:color w:val="000000" w:themeColor="text1"/>
        </w:rPr>
        <w:t>Fédération Bancaire Française (FBF)</w:t>
      </w:r>
    </w:p>
    <w:p w14:paraId="25D5EA4E" w14:textId="6FD965D6" w:rsidR="00D53E70" w:rsidRDefault="00D53E70" w:rsidP="00D53E70">
      <w:pPr>
        <w:pStyle w:val="Paragraphedeliste"/>
        <w:numPr>
          <w:ilvl w:val="0"/>
          <w:numId w:val="36"/>
        </w:numPr>
        <w:ind w:left="1080"/>
        <w:rPr>
          <w:bCs/>
          <w:color w:val="000000" w:themeColor="text1"/>
        </w:rPr>
      </w:pPr>
      <w:r w:rsidRPr="00B17534">
        <w:rPr>
          <w:bCs/>
          <w:color w:val="000000" w:themeColor="text1"/>
        </w:rPr>
        <w:t>Paris Europlace</w:t>
      </w:r>
    </w:p>
    <w:p w14:paraId="3FE9B4E1" w14:textId="2D273A89" w:rsidR="00760812" w:rsidRDefault="00760812" w:rsidP="00760812">
      <w:pPr>
        <w:pStyle w:val="Paragraphedeliste"/>
        <w:numPr>
          <w:ilvl w:val="0"/>
          <w:numId w:val="36"/>
        </w:numPr>
        <w:ind w:left="1080"/>
        <w:rPr>
          <w:bCs/>
          <w:color w:val="000000" w:themeColor="text1"/>
        </w:rPr>
      </w:pPr>
      <w:r>
        <w:rPr>
          <w:bCs/>
          <w:color w:val="000000" w:themeColor="text1"/>
        </w:rPr>
        <w:t xml:space="preserve">Mouvement des Entreprises de France (MEDEF) </w:t>
      </w:r>
      <w:r w:rsidR="00E4150E">
        <w:rPr>
          <w:bCs/>
          <w:color w:val="000000" w:themeColor="text1"/>
        </w:rPr>
        <w:t>*</w:t>
      </w:r>
    </w:p>
    <w:p w14:paraId="54FD67EB" w14:textId="45E8FA62" w:rsidR="00E4150E" w:rsidRDefault="00E4150E" w:rsidP="000F62C6">
      <w:pPr>
        <w:rPr>
          <w:bCs/>
          <w:color w:val="000000" w:themeColor="text1"/>
        </w:rPr>
      </w:pPr>
    </w:p>
    <w:p w14:paraId="005DA0E7" w14:textId="424D159E" w:rsidR="003D1534" w:rsidRDefault="00EA5C49" w:rsidP="000F62C6">
      <w:pPr>
        <w:ind w:firstLine="644"/>
        <w:rPr>
          <w:bCs/>
          <w:color w:val="000000" w:themeColor="text1"/>
        </w:rPr>
      </w:pPr>
      <w:r>
        <w:rPr>
          <w:bCs/>
          <w:color w:val="000000" w:themeColor="text1"/>
        </w:rPr>
        <w:t>* S’agissant de fédération</w:t>
      </w:r>
      <w:r w:rsidR="00E4150E">
        <w:rPr>
          <w:bCs/>
          <w:color w:val="000000" w:themeColor="text1"/>
        </w:rPr>
        <w:t xml:space="preserve"> de fédérations, nous n’avons pas de cotisations à recenser. </w:t>
      </w:r>
    </w:p>
    <w:p w14:paraId="20E9F53E" w14:textId="77777777" w:rsidR="00023768" w:rsidRDefault="00023768" w:rsidP="00023768">
      <w:pPr>
        <w:ind w:firstLine="644"/>
        <w:rPr>
          <w:bCs/>
          <w:color w:val="000000" w:themeColor="text1"/>
        </w:rPr>
      </w:pPr>
    </w:p>
    <w:p w14:paraId="22433068" w14:textId="58F7439E" w:rsidR="00E456F6" w:rsidRDefault="00E456F6" w:rsidP="00023768">
      <w:pPr>
        <w:ind w:firstLine="426"/>
        <w:rPr>
          <w:bCs/>
          <w:color w:val="000000" w:themeColor="text1"/>
        </w:rPr>
      </w:pPr>
      <w:r>
        <w:rPr>
          <w:bCs/>
          <w:color w:val="000000" w:themeColor="text1"/>
        </w:rPr>
        <w:t xml:space="preserve">A noter, par ailleurs, que nous participons également aux travaux des </w:t>
      </w:r>
      <w:r w:rsidRPr="00023768">
        <w:rPr>
          <w:b/>
          <w:bCs/>
          <w:color w:val="000000" w:themeColor="text1"/>
        </w:rPr>
        <w:t>thinks tanks</w:t>
      </w:r>
      <w:r>
        <w:rPr>
          <w:bCs/>
          <w:color w:val="000000" w:themeColor="text1"/>
        </w:rPr>
        <w:t xml:space="preserve"> suivants : </w:t>
      </w:r>
    </w:p>
    <w:p w14:paraId="35FEBC3D" w14:textId="77777777" w:rsidR="00E456F6" w:rsidRDefault="00E456F6" w:rsidP="000F62C6">
      <w:pPr>
        <w:ind w:firstLine="644"/>
        <w:rPr>
          <w:bCs/>
          <w:color w:val="000000" w:themeColor="text1"/>
        </w:rPr>
      </w:pPr>
    </w:p>
    <w:p w14:paraId="23CFB2B5" w14:textId="3B9A34B4" w:rsidR="00E456F6" w:rsidRDefault="00E456F6" w:rsidP="000F62C6">
      <w:pPr>
        <w:pStyle w:val="Paragraphedeliste"/>
        <w:numPr>
          <w:ilvl w:val="0"/>
          <w:numId w:val="45"/>
        </w:numPr>
        <w:rPr>
          <w:bCs/>
          <w:color w:val="000000" w:themeColor="text1"/>
        </w:rPr>
      </w:pPr>
      <w:r>
        <w:rPr>
          <w:bCs/>
          <w:color w:val="000000" w:themeColor="text1"/>
        </w:rPr>
        <w:t>Bruegel</w:t>
      </w:r>
    </w:p>
    <w:p w14:paraId="25E4B848" w14:textId="736426F0" w:rsidR="00E456F6" w:rsidRDefault="00E456F6" w:rsidP="000F62C6">
      <w:pPr>
        <w:pStyle w:val="Paragraphedeliste"/>
        <w:numPr>
          <w:ilvl w:val="0"/>
          <w:numId w:val="45"/>
        </w:numPr>
        <w:rPr>
          <w:bCs/>
          <w:color w:val="000000" w:themeColor="text1"/>
        </w:rPr>
      </w:pPr>
      <w:r>
        <w:rPr>
          <w:bCs/>
          <w:color w:val="000000" w:themeColor="text1"/>
        </w:rPr>
        <w:t>Confrontations Europe</w:t>
      </w:r>
    </w:p>
    <w:p w14:paraId="6436C636" w14:textId="2BAF6993" w:rsidR="00E456F6" w:rsidRDefault="00E456F6" w:rsidP="000F62C6">
      <w:pPr>
        <w:pStyle w:val="Paragraphedeliste"/>
        <w:numPr>
          <w:ilvl w:val="0"/>
          <w:numId w:val="45"/>
        </w:numPr>
        <w:rPr>
          <w:bCs/>
          <w:color w:val="000000" w:themeColor="text1"/>
        </w:rPr>
      </w:pPr>
      <w:r>
        <w:rPr>
          <w:bCs/>
          <w:color w:val="000000" w:themeColor="text1"/>
        </w:rPr>
        <w:t>Euro 50 Group</w:t>
      </w:r>
    </w:p>
    <w:p w14:paraId="0371EEF1" w14:textId="77777777" w:rsidR="00E456F6" w:rsidRDefault="00E456F6" w:rsidP="000F62C6">
      <w:pPr>
        <w:pStyle w:val="Paragraphedeliste"/>
        <w:ind w:left="644"/>
        <w:rPr>
          <w:bCs/>
          <w:color w:val="000000" w:themeColor="text1"/>
        </w:rPr>
      </w:pPr>
    </w:p>
    <w:p w14:paraId="5D12C8B1" w14:textId="0A6B208F" w:rsidR="00E456F6" w:rsidRDefault="00E456F6" w:rsidP="00023768">
      <w:pPr>
        <w:ind w:left="426"/>
        <w:jc w:val="both"/>
        <w:rPr>
          <w:bCs/>
          <w:color w:val="000000" w:themeColor="text1"/>
        </w:rPr>
      </w:pPr>
      <w:r>
        <w:rPr>
          <w:bCs/>
          <w:color w:val="000000" w:themeColor="text1"/>
        </w:rPr>
        <w:t>Nos cotisations pour ces think tanks ne sont pas prises en compte dans les coûts totaux recensés ci-dessous au motif que nous ne réalisons pas de représentation d’intérêts par leur biais.</w:t>
      </w:r>
    </w:p>
    <w:p w14:paraId="26CA6426" w14:textId="6D7E8D91" w:rsidR="00023768" w:rsidRDefault="00023768" w:rsidP="00F93EF9">
      <w:pPr>
        <w:jc w:val="both"/>
        <w:rPr>
          <w:b/>
          <w:bCs/>
          <w:color w:val="000000" w:themeColor="text1"/>
        </w:rPr>
      </w:pPr>
      <w:bookmarkStart w:id="0" w:name="_GoBack"/>
      <w:bookmarkEnd w:id="0"/>
    </w:p>
    <w:p w14:paraId="2E5A6D73" w14:textId="77777777" w:rsidR="00023768" w:rsidRDefault="00023768" w:rsidP="000F62C6">
      <w:pPr>
        <w:ind w:left="284"/>
        <w:jc w:val="both"/>
        <w:rPr>
          <w:b/>
          <w:bCs/>
          <w:color w:val="000000" w:themeColor="text1"/>
        </w:rPr>
      </w:pPr>
    </w:p>
    <w:p w14:paraId="2B80C21D" w14:textId="56012BAB" w:rsidR="00C415D1" w:rsidRPr="00023768" w:rsidRDefault="00C415D1" w:rsidP="00023768">
      <w:pPr>
        <w:jc w:val="both"/>
        <w:rPr>
          <w:b/>
          <w:color w:val="C00000"/>
          <w:sz w:val="24"/>
        </w:rPr>
      </w:pPr>
      <w:r w:rsidRPr="00023768">
        <w:rPr>
          <w:b/>
          <w:color w:val="C00000"/>
          <w:sz w:val="24"/>
        </w:rPr>
        <w:t xml:space="preserve">SECTION 5. COUTS DE REPRESENTATION D’INTERETS </w:t>
      </w:r>
    </w:p>
    <w:p w14:paraId="6F24DE11" w14:textId="77777777" w:rsidR="00C415D1" w:rsidRDefault="00C415D1" w:rsidP="000F62C6">
      <w:pPr>
        <w:ind w:left="284"/>
        <w:jc w:val="both"/>
        <w:rPr>
          <w:b/>
          <w:bCs/>
          <w:color w:val="000000" w:themeColor="text1"/>
        </w:rPr>
      </w:pPr>
    </w:p>
    <w:p w14:paraId="56A2B1C1" w14:textId="357ECFDF" w:rsidR="00D53E70" w:rsidRDefault="00EA5C49" w:rsidP="000F62C6">
      <w:pPr>
        <w:jc w:val="both"/>
        <w:rPr>
          <w:color w:val="000000" w:themeColor="text1"/>
        </w:rPr>
      </w:pPr>
      <w:r>
        <w:t xml:space="preserve">Sont indiquées ci-dessous les dépenses agrégées du Groupe, comprenant les cotisations aux associations professionnelles ainsi que les salaires des personnes exerçant une activité de représentation d’intérêts, ces deux éléments étant calculés en pourcentage du temps consacré aux </w:t>
      </w:r>
      <w:r w:rsidR="00E456F6">
        <w:t xml:space="preserve">dites activités. </w:t>
      </w:r>
      <w:r>
        <w:t xml:space="preserve"> </w:t>
      </w:r>
    </w:p>
    <w:p w14:paraId="15D686EB" w14:textId="77777777" w:rsidR="00023768" w:rsidRDefault="00023768" w:rsidP="00023768">
      <w:pPr>
        <w:jc w:val="both"/>
        <w:rPr>
          <w:color w:val="000000" w:themeColor="text1"/>
        </w:rPr>
      </w:pPr>
    </w:p>
    <w:p w14:paraId="4D497FF5" w14:textId="235DF2C1" w:rsidR="00EA5C49" w:rsidRDefault="0080124A" w:rsidP="00023768">
      <w:pPr>
        <w:jc w:val="both"/>
        <w:rPr>
          <w:color w:val="000000" w:themeColor="text1"/>
        </w:rPr>
      </w:pPr>
      <w:r>
        <w:rPr>
          <w:color w:val="000000" w:themeColor="text1"/>
        </w:rPr>
        <w:t>L</w:t>
      </w:r>
      <w:r w:rsidR="00D1508A">
        <w:rPr>
          <w:color w:val="000000" w:themeColor="text1"/>
        </w:rPr>
        <w:t>’augmentation sensible de nos coûts</w:t>
      </w:r>
      <w:r w:rsidR="00F93EF9">
        <w:rPr>
          <w:color w:val="000000" w:themeColor="text1"/>
        </w:rPr>
        <w:t>,</w:t>
      </w:r>
      <w:r w:rsidR="00A50C5C">
        <w:rPr>
          <w:color w:val="000000" w:themeColor="text1"/>
        </w:rPr>
        <w:t xml:space="preserve"> </w:t>
      </w:r>
      <w:r w:rsidR="001819DB">
        <w:rPr>
          <w:color w:val="000000" w:themeColor="text1"/>
        </w:rPr>
        <w:t>au regard de notre précédente publication sur le site institutionnel du Groupe</w:t>
      </w:r>
      <w:r w:rsidR="00F93EF9">
        <w:rPr>
          <w:color w:val="000000" w:themeColor="text1"/>
        </w:rPr>
        <w:t>,</w:t>
      </w:r>
      <w:r w:rsidR="00D1508A">
        <w:rPr>
          <w:color w:val="000000" w:themeColor="text1"/>
        </w:rPr>
        <w:t xml:space="preserve"> </w:t>
      </w:r>
      <w:r>
        <w:rPr>
          <w:color w:val="000000" w:themeColor="text1"/>
        </w:rPr>
        <w:t>résulte d’</w:t>
      </w:r>
      <w:r w:rsidR="00D1508A">
        <w:rPr>
          <w:color w:val="000000" w:themeColor="text1"/>
        </w:rPr>
        <w:t>une</w:t>
      </w:r>
      <w:r w:rsidR="00EA5C49">
        <w:rPr>
          <w:color w:val="000000" w:themeColor="text1"/>
        </w:rPr>
        <w:t xml:space="preserve"> </w:t>
      </w:r>
      <w:r>
        <w:rPr>
          <w:color w:val="000000" w:themeColor="text1"/>
        </w:rPr>
        <w:t xml:space="preserve">meilleure </w:t>
      </w:r>
      <w:r w:rsidR="00EA5C49">
        <w:rPr>
          <w:color w:val="000000" w:themeColor="text1"/>
        </w:rPr>
        <w:t xml:space="preserve">prise en compte des associations </w:t>
      </w:r>
      <w:r>
        <w:rPr>
          <w:color w:val="000000" w:themeColor="text1"/>
        </w:rPr>
        <w:t xml:space="preserve">retenues. </w:t>
      </w:r>
    </w:p>
    <w:p w14:paraId="2D793CF9" w14:textId="655BB75F" w:rsidR="003D1534" w:rsidRDefault="003D1534" w:rsidP="00023768">
      <w:pPr>
        <w:jc w:val="both"/>
        <w:rPr>
          <w:color w:val="000000" w:themeColor="text1"/>
        </w:rPr>
      </w:pPr>
    </w:p>
    <w:tbl>
      <w:tblPr>
        <w:tblStyle w:val="TableauGrille4-Accentuation2"/>
        <w:tblW w:w="0" w:type="auto"/>
        <w:tblLook w:val="04A0" w:firstRow="1" w:lastRow="0" w:firstColumn="1" w:lastColumn="0" w:noHBand="0" w:noVBand="1"/>
      </w:tblPr>
      <w:tblGrid>
        <w:gridCol w:w="2265"/>
        <w:gridCol w:w="2265"/>
        <w:gridCol w:w="2266"/>
        <w:gridCol w:w="2266"/>
      </w:tblGrid>
      <w:tr w:rsidR="00023768" w14:paraId="6624C444" w14:textId="77777777" w:rsidTr="000237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2187E2A" w14:textId="77777777" w:rsidR="00023768" w:rsidRDefault="00023768" w:rsidP="004970AA">
            <w:pPr>
              <w:jc w:val="both"/>
              <w:rPr>
                <w:color w:val="000000" w:themeColor="text1"/>
              </w:rPr>
            </w:pPr>
          </w:p>
        </w:tc>
        <w:tc>
          <w:tcPr>
            <w:tcW w:w="2265" w:type="dxa"/>
          </w:tcPr>
          <w:p w14:paraId="50ACBF30" w14:textId="62E78C36" w:rsidR="00023768" w:rsidRDefault="00023768" w:rsidP="000237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2016</w:t>
            </w:r>
          </w:p>
        </w:tc>
        <w:tc>
          <w:tcPr>
            <w:tcW w:w="2266" w:type="dxa"/>
          </w:tcPr>
          <w:p w14:paraId="0E2F7B8B" w14:textId="4BE5FB8C" w:rsidR="00023768" w:rsidRDefault="00023768" w:rsidP="000237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2017</w:t>
            </w:r>
          </w:p>
        </w:tc>
        <w:tc>
          <w:tcPr>
            <w:tcW w:w="2266" w:type="dxa"/>
          </w:tcPr>
          <w:p w14:paraId="4EA33493" w14:textId="0CEB882F" w:rsidR="00023768" w:rsidRDefault="00023768" w:rsidP="00023768">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2018</w:t>
            </w:r>
          </w:p>
        </w:tc>
      </w:tr>
      <w:tr w:rsidR="00023768" w14:paraId="0F35917E" w14:textId="77777777" w:rsidTr="00023768">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B8A4EE1" w14:textId="7139B097" w:rsidR="00023768" w:rsidRDefault="00023768" w:rsidP="00023768">
            <w:pPr>
              <w:jc w:val="center"/>
              <w:rPr>
                <w:color w:val="000000" w:themeColor="text1"/>
              </w:rPr>
            </w:pPr>
            <w:r>
              <w:rPr>
                <w:color w:val="000000" w:themeColor="text1"/>
              </w:rPr>
              <w:t>Fourchette (M EUR)</w:t>
            </w:r>
          </w:p>
        </w:tc>
        <w:tc>
          <w:tcPr>
            <w:tcW w:w="2265" w:type="dxa"/>
            <w:vAlign w:val="center"/>
          </w:tcPr>
          <w:p w14:paraId="7400CFF9" w14:textId="225855E4" w:rsidR="00023768" w:rsidRDefault="00023768" w:rsidP="00023768">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1 300 000 – 1400 000</w:t>
            </w:r>
          </w:p>
        </w:tc>
        <w:tc>
          <w:tcPr>
            <w:tcW w:w="2266" w:type="dxa"/>
            <w:vAlign w:val="center"/>
          </w:tcPr>
          <w:p w14:paraId="5E37732C" w14:textId="0CC72DAC" w:rsidR="00023768" w:rsidRDefault="00023768" w:rsidP="00023768">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1 300 000 – 1400 000</w:t>
            </w:r>
          </w:p>
        </w:tc>
        <w:tc>
          <w:tcPr>
            <w:tcW w:w="2266" w:type="dxa"/>
            <w:vAlign w:val="center"/>
          </w:tcPr>
          <w:p w14:paraId="104A5899" w14:textId="7F52EC43" w:rsidR="00023768" w:rsidRDefault="00023768" w:rsidP="00023768">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1 700 000 – 1 800 000</w:t>
            </w:r>
          </w:p>
        </w:tc>
      </w:tr>
    </w:tbl>
    <w:p w14:paraId="69003EB0" w14:textId="6FBE5E54" w:rsidR="00EA5C49" w:rsidRDefault="00EA5C49" w:rsidP="00023768">
      <w:pPr>
        <w:jc w:val="both"/>
        <w:rPr>
          <w:color w:val="000000" w:themeColor="text1"/>
        </w:rPr>
      </w:pPr>
    </w:p>
    <w:p w14:paraId="430C863F" w14:textId="178AB87D" w:rsidR="00A50C5C" w:rsidRDefault="00A50C5C" w:rsidP="004970AA">
      <w:pPr>
        <w:ind w:left="284"/>
        <w:jc w:val="both"/>
        <w:rPr>
          <w:color w:val="000000" w:themeColor="text1"/>
        </w:rPr>
      </w:pPr>
    </w:p>
    <w:p w14:paraId="665E7D65" w14:textId="12348CCC" w:rsidR="007C3653" w:rsidRPr="00F52A9B" w:rsidRDefault="00F93EF9" w:rsidP="00F52A9B"/>
    <w:sectPr w:rsidR="007C3653" w:rsidRPr="00F52A9B" w:rsidSect="00A910FA">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6F52F" w14:textId="77777777" w:rsidR="00FE6BE0" w:rsidRDefault="00FE6BE0" w:rsidP="00265E82">
      <w:r>
        <w:separator/>
      </w:r>
    </w:p>
  </w:endnote>
  <w:endnote w:type="continuationSeparator" w:id="0">
    <w:p w14:paraId="147913AF" w14:textId="77777777" w:rsidR="00FE6BE0" w:rsidRDefault="00FE6BE0" w:rsidP="0026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0CC92" w14:textId="77777777" w:rsidR="00FE6BE0" w:rsidRDefault="00FE6BE0" w:rsidP="00265E82">
      <w:r>
        <w:separator/>
      </w:r>
    </w:p>
  </w:footnote>
  <w:footnote w:type="continuationSeparator" w:id="0">
    <w:p w14:paraId="0528C7EE" w14:textId="77777777" w:rsidR="00FE6BE0" w:rsidRDefault="00FE6BE0" w:rsidP="0026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12AA"/>
    <w:multiLevelType w:val="hybridMultilevel"/>
    <w:tmpl w:val="90E2A3D0"/>
    <w:lvl w:ilvl="0" w:tplc="6B700158">
      <w:start w:val="1"/>
      <w:numFmt w:val="bullet"/>
      <w:lvlText w:val="►"/>
      <w:lvlJc w:val="left"/>
      <w:pPr>
        <w:tabs>
          <w:tab w:val="num" w:pos="720"/>
        </w:tabs>
        <w:ind w:left="720" w:hanging="360"/>
      </w:pPr>
      <w:rPr>
        <w:rFonts w:ascii="Arial" w:hAnsi="Arial" w:cs="Times New Roman" w:hint="default"/>
      </w:rPr>
    </w:lvl>
    <w:lvl w:ilvl="1" w:tplc="E0E2D41A">
      <w:start w:val="1"/>
      <w:numFmt w:val="bullet"/>
      <w:lvlText w:val="►"/>
      <w:lvlJc w:val="left"/>
      <w:pPr>
        <w:tabs>
          <w:tab w:val="num" w:pos="1440"/>
        </w:tabs>
        <w:ind w:left="1440" w:hanging="360"/>
      </w:pPr>
      <w:rPr>
        <w:rFonts w:ascii="Arial" w:hAnsi="Arial" w:cs="Times New Roman" w:hint="default"/>
      </w:rPr>
    </w:lvl>
    <w:lvl w:ilvl="2" w:tplc="CB6C7DDE">
      <w:start w:val="1"/>
      <w:numFmt w:val="decimal"/>
      <w:lvlText w:val="%3."/>
      <w:lvlJc w:val="left"/>
      <w:pPr>
        <w:tabs>
          <w:tab w:val="num" w:pos="2160"/>
        </w:tabs>
        <w:ind w:left="2160" w:hanging="360"/>
      </w:pPr>
      <w:rPr>
        <w:rFonts w:ascii="Calibri" w:eastAsia="Calibri" w:hAnsi="Calibri" w:cs="Times New Roman"/>
      </w:rPr>
    </w:lvl>
    <w:lvl w:ilvl="3" w:tplc="4CB2C4F4">
      <w:start w:val="1"/>
      <w:numFmt w:val="bullet"/>
      <w:lvlText w:val="►"/>
      <w:lvlJc w:val="left"/>
      <w:pPr>
        <w:tabs>
          <w:tab w:val="num" w:pos="2880"/>
        </w:tabs>
        <w:ind w:left="2880" w:hanging="360"/>
      </w:pPr>
      <w:rPr>
        <w:rFonts w:ascii="Arial" w:hAnsi="Arial" w:cs="Times New Roman" w:hint="default"/>
      </w:rPr>
    </w:lvl>
    <w:lvl w:ilvl="4" w:tplc="61E876AE">
      <w:start w:val="1"/>
      <w:numFmt w:val="bullet"/>
      <w:lvlText w:val="►"/>
      <w:lvlJc w:val="left"/>
      <w:pPr>
        <w:tabs>
          <w:tab w:val="num" w:pos="3600"/>
        </w:tabs>
        <w:ind w:left="3600" w:hanging="360"/>
      </w:pPr>
      <w:rPr>
        <w:rFonts w:ascii="Arial" w:hAnsi="Arial" w:cs="Times New Roman" w:hint="default"/>
      </w:rPr>
    </w:lvl>
    <w:lvl w:ilvl="5" w:tplc="944EE5A6">
      <w:start w:val="1"/>
      <w:numFmt w:val="bullet"/>
      <w:lvlText w:val="►"/>
      <w:lvlJc w:val="left"/>
      <w:pPr>
        <w:tabs>
          <w:tab w:val="num" w:pos="4320"/>
        </w:tabs>
        <w:ind w:left="4320" w:hanging="360"/>
      </w:pPr>
      <w:rPr>
        <w:rFonts w:ascii="Arial" w:hAnsi="Arial" w:cs="Times New Roman" w:hint="default"/>
      </w:rPr>
    </w:lvl>
    <w:lvl w:ilvl="6" w:tplc="C7881EE4">
      <w:start w:val="1"/>
      <w:numFmt w:val="bullet"/>
      <w:lvlText w:val="►"/>
      <w:lvlJc w:val="left"/>
      <w:pPr>
        <w:tabs>
          <w:tab w:val="num" w:pos="5040"/>
        </w:tabs>
        <w:ind w:left="5040" w:hanging="360"/>
      </w:pPr>
      <w:rPr>
        <w:rFonts w:ascii="Arial" w:hAnsi="Arial" w:cs="Times New Roman" w:hint="default"/>
      </w:rPr>
    </w:lvl>
    <w:lvl w:ilvl="7" w:tplc="680AAF9C">
      <w:start w:val="1"/>
      <w:numFmt w:val="bullet"/>
      <w:lvlText w:val="►"/>
      <w:lvlJc w:val="left"/>
      <w:pPr>
        <w:tabs>
          <w:tab w:val="num" w:pos="5760"/>
        </w:tabs>
        <w:ind w:left="5760" w:hanging="360"/>
      </w:pPr>
      <w:rPr>
        <w:rFonts w:ascii="Arial" w:hAnsi="Arial" w:cs="Times New Roman" w:hint="default"/>
      </w:rPr>
    </w:lvl>
    <w:lvl w:ilvl="8" w:tplc="9128441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9886320"/>
    <w:multiLevelType w:val="hybridMultilevel"/>
    <w:tmpl w:val="1AA6BC68"/>
    <w:lvl w:ilvl="0" w:tplc="7262A30C">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950FF"/>
    <w:multiLevelType w:val="hybridMultilevel"/>
    <w:tmpl w:val="01124918"/>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C316925"/>
    <w:multiLevelType w:val="hybridMultilevel"/>
    <w:tmpl w:val="D84C65A4"/>
    <w:lvl w:ilvl="0" w:tplc="7262A30C">
      <w:numFmt w:val="bullet"/>
      <w:lvlText w:val="─"/>
      <w:lvlJc w:val="left"/>
      <w:pPr>
        <w:ind w:left="360" w:hanging="360"/>
      </w:pPr>
      <w:rPr>
        <w:rFonts w:ascii="Calibri" w:eastAsiaTheme="minorHAnsi" w:hAnsi="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AA54CB"/>
    <w:multiLevelType w:val="hybridMultilevel"/>
    <w:tmpl w:val="0FCA2E0E"/>
    <w:lvl w:ilvl="0" w:tplc="29F4CE9E">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0AD631E"/>
    <w:multiLevelType w:val="hybridMultilevel"/>
    <w:tmpl w:val="707A76C0"/>
    <w:lvl w:ilvl="0" w:tplc="42644D56">
      <w:start w:val="11"/>
      <w:numFmt w:val="bullet"/>
      <w:lvlText w:val="-"/>
      <w:lvlJc w:val="left"/>
      <w:pPr>
        <w:ind w:left="1920" w:hanging="360"/>
      </w:pPr>
      <w:rPr>
        <w:rFonts w:ascii="Calibri" w:eastAsiaTheme="minorHAnsi" w:hAnsi="Calibri" w:cs="Calibri"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6" w15:restartNumberingAfterBreak="0">
    <w:nsid w:val="122C5F54"/>
    <w:multiLevelType w:val="hybridMultilevel"/>
    <w:tmpl w:val="CD82A47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28067FF"/>
    <w:multiLevelType w:val="hybridMultilevel"/>
    <w:tmpl w:val="1E806D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F44445"/>
    <w:multiLevelType w:val="multilevel"/>
    <w:tmpl w:val="9326A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6306C"/>
    <w:multiLevelType w:val="hybridMultilevel"/>
    <w:tmpl w:val="B9C4214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3671C88"/>
    <w:multiLevelType w:val="hybridMultilevel"/>
    <w:tmpl w:val="FB6E6F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262B85"/>
    <w:multiLevelType w:val="hybridMultilevel"/>
    <w:tmpl w:val="AA3C359A"/>
    <w:lvl w:ilvl="0" w:tplc="E55EEBBA">
      <w:start w:val="1"/>
      <w:numFmt w:val="bullet"/>
      <w:lvlText w:val=""/>
      <w:lvlJc w:val="left"/>
      <w:pPr>
        <w:tabs>
          <w:tab w:val="num" w:pos="720"/>
        </w:tabs>
        <w:ind w:left="720" w:hanging="360"/>
      </w:pPr>
      <w:rPr>
        <w:rFonts w:ascii="Wingdings" w:hAnsi="Wingdings" w:hint="default"/>
      </w:rPr>
    </w:lvl>
    <w:lvl w:ilvl="1" w:tplc="F2EABEE2" w:tentative="1">
      <w:start w:val="1"/>
      <w:numFmt w:val="bullet"/>
      <w:lvlText w:val=""/>
      <w:lvlJc w:val="left"/>
      <w:pPr>
        <w:tabs>
          <w:tab w:val="num" w:pos="1440"/>
        </w:tabs>
        <w:ind w:left="1440" w:hanging="360"/>
      </w:pPr>
      <w:rPr>
        <w:rFonts w:ascii="Wingdings" w:hAnsi="Wingdings" w:hint="default"/>
      </w:rPr>
    </w:lvl>
    <w:lvl w:ilvl="2" w:tplc="924C057C" w:tentative="1">
      <w:start w:val="1"/>
      <w:numFmt w:val="bullet"/>
      <w:lvlText w:val=""/>
      <w:lvlJc w:val="left"/>
      <w:pPr>
        <w:tabs>
          <w:tab w:val="num" w:pos="2160"/>
        </w:tabs>
        <w:ind w:left="2160" w:hanging="360"/>
      </w:pPr>
      <w:rPr>
        <w:rFonts w:ascii="Wingdings" w:hAnsi="Wingdings" w:hint="default"/>
      </w:rPr>
    </w:lvl>
    <w:lvl w:ilvl="3" w:tplc="E236CDC6" w:tentative="1">
      <w:start w:val="1"/>
      <w:numFmt w:val="bullet"/>
      <w:lvlText w:val=""/>
      <w:lvlJc w:val="left"/>
      <w:pPr>
        <w:tabs>
          <w:tab w:val="num" w:pos="2880"/>
        </w:tabs>
        <w:ind w:left="2880" w:hanging="360"/>
      </w:pPr>
      <w:rPr>
        <w:rFonts w:ascii="Wingdings" w:hAnsi="Wingdings" w:hint="default"/>
      </w:rPr>
    </w:lvl>
    <w:lvl w:ilvl="4" w:tplc="9B8CEF2E" w:tentative="1">
      <w:start w:val="1"/>
      <w:numFmt w:val="bullet"/>
      <w:lvlText w:val=""/>
      <w:lvlJc w:val="left"/>
      <w:pPr>
        <w:tabs>
          <w:tab w:val="num" w:pos="3600"/>
        </w:tabs>
        <w:ind w:left="3600" w:hanging="360"/>
      </w:pPr>
      <w:rPr>
        <w:rFonts w:ascii="Wingdings" w:hAnsi="Wingdings" w:hint="default"/>
      </w:rPr>
    </w:lvl>
    <w:lvl w:ilvl="5" w:tplc="54BAF226" w:tentative="1">
      <w:start w:val="1"/>
      <w:numFmt w:val="bullet"/>
      <w:lvlText w:val=""/>
      <w:lvlJc w:val="left"/>
      <w:pPr>
        <w:tabs>
          <w:tab w:val="num" w:pos="4320"/>
        </w:tabs>
        <w:ind w:left="4320" w:hanging="360"/>
      </w:pPr>
      <w:rPr>
        <w:rFonts w:ascii="Wingdings" w:hAnsi="Wingdings" w:hint="default"/>
      </w:rPr>
    </w:lvl>
    <w:lvl w:ilvl="6" w:tplc="386E6304" w:tentative="1">
      <w:start w:val="1"/>
      <w:numFmt w:val="bullet"/>
      <w:lvlText w:val=""/>
      <w:lvlJc w:val="left"/>
      <w:pPr>
        <w:tabs>
          <w:tab w:val="num" w:pos="5040"/>
        </w:tabs>
        <w:ind w:left="5040" w:hanging="360"/>
      </w:pPr>
      <w:rPr>
        <w:rFonts w:ascii="Wingdings" w:hAnsi="Wingdings" w:hint="default"/>
      </w:rPr>
    </w:lvl>
    <w:lvl w:ilvl="7" w:tplc="001C9904" w:tentative="1">
      <w:start w:val="1"/>
      <w:numFmt w:val="bullet"/>
      <w:lvlText w:val=""/>
      <w:lvlJc w:val="left"/>
      <w:pPr>
        <w:tabs>
          <w:tab w:val="num" w:pos="5760"/>
        </w:tabs>
        <w:ind w:left="5760" w:hanging="360"/>
      </w:pPr>
      <w:rPr>
        <w:rFonts w:ascii="Wingdings" w:hAnsi="Wingdings" w:hint="default"/>
      </w:rPr>
    </w:lvl>
    <w:lvl w:ilvl="8" w:tplc="C33437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155A09"/>
    <w:multiLevelType w:val="hybridMultilevel"/>
    <w:tmpl w:val="4D38DB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F973AE"/>
    <w:multiLevelType w:val="hybridMultilevel"/>
    <w:tmpl w:val="6684570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23D373B"/>
    <w:multiLevelType w:val="hybridMultilevel"/>
    <w:tmpl w:val="35CE6C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25580B"/>
    <w:multiLevelType w:val="multilevel"/>
    <w:tmpl w:val="A9E42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8967C7"/>
    <w:multiLevelType w:val="multilevel"/>
    <w:tmpl w:val="3B12A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9C27CF"/>
    <w:multiLevelType w:val="hybridMultilevel"/>
    <w:tmpl w:val="B1CC6C68"/>
    <w:lvl w:ilvl="0" w:tplc="7262A30C">
      <w:numFmt w:val="bullet"/>
      <w:lvlText w:val="─"/>
      <w:lvlJc w:val="left"/>
      <w:pPr>
        <w:ind w:left="1920" w:hanging="360"/>
      </w:pPr>
      <w:rPr>
        <w:rFonts w:ascii="Calibri" w:eastAsiaTheme="minorHAnsi" w:hAnsi="Calibri"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8" w15:restartNumberingAfterBreak="0">
    <w:nsid w:val="28B71DAE"/>
    <w:multiLevelType w:val="hybridMultilevel"/>
    <w:tmpl w:val="8E3407C6"/>
    <w:lvl w:ilvl="0" w:tplc="7262A30C">
      <w:numFmt w:val="bullet"/>
      <w:lvlText w:val="─"/>
      <w:lvlJc w:val="left"/>
      <w:pPr>
        <w:ind w:left="1429" w:hanging="360"/>
      </w:pPr>
      <w:rPr>
        <w:rFonts w:ascii="Calibri" w:eastAsiaTheme="minorHAns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298812FD"/>
    <w:multiLevelType w:val="hybridMultilevel"/>
    <w:tmpl w:val="6CA2F9E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B545F3B"/>
    <w:multiLevelType w:val="multilevel"/>
    <w:tmpl w:val="77928600"/>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Calibri" w:eastAsiaTheme="minorHAns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F7C0E"/>
    <w:multiLevelType w:val="hybridMultilevel"/>
    <w:tmpl w:val="01F8EBEA"/>
    <w:lvl w:ilvl="0" w:tplc="7262A30C">
      <w:numFmt w:val="bullet"/>
      <w:lvlText w:val="─"/>
      <w:lvlJc w:val="left"/>
      <w:pPr>
        <w:tabs>
          <w:tab w:val="num" w:pos="360"/>
        </w:tabs>
        <w:ind w:left="360" w:hanging="360"/>
      </w:pPr>
      <w:rPr>
        <w:rFonts w:ascii="Calibri" w:eastAsiaTheme="minorHAnsi" w:hAnsi="Calibri" w:hint="default"/>
      </w:rPr>
    </w:lvl>
    <w:lvl w:ilvl="1" w:tplc="D65AC3EA">
      <w:start w:val="1"/>
      <w:numFmt w:val="bullet"/>
      <w:lvlText w:val=""/>
      <w:lvlJc w:val="left"/>
      <w:pPr>
        <w:tabs>
          <w:tab w:val="num" w:pos="1080"/>
        </w:tabs>
        <w:ind w:left="1080" w:hanging="360"/>
      </w:pPr>
      <w:rPr>
        <w:rFonts w:ascii="Wingdings" w:hAnsi="Wingdings" w:hint="default"/>
      </w:rPr>
    </w:lvl>
    <w:lvl w:ilvl="2" w:tplc="69985FC2" w:tentative="1">
      <w:start w:val="1"/>
      <w:numFmt w:val="bullet"/>
      <w:lvlText w:val=""/>
      <w:lvlJc w:val="left"/>
      <w:pPr>
        <w:tabs>
          <w:tab w:val="num" w:pos="1800"/>
        </w:tabs>
        <w:ind w:left="1800" w:hanging="360"/>
      </w:pPr>
      <w:rPr>
        <w:rFonts w:ascii="Wingdings" w:hAnsi="Wingdings" w:hint="default"/>
      </w:rPr>
    </w:lvl>
    <w:lvl w:ilvl="3" w:tplc="11B24430" w:tentative="1">
      <w:start w:val="1"/>
      <w:numFmt w:val="bullet"/>
      <w:lvlText w:val=""/>
      <w:lvlJc w:val="left"/>
      <w:pPr>
        <w:tabs>
          <w:tab w:val="num" w:pos="2520"/>
        </w:tabs>
        <w:ind w:left="2520" w:hanging="360"/>
      </w:pPr>
      <w:rPr>
        <w:rFonts w:ascii="Wingdings" w:hAnsi="Wingdings" w:hint="default"/>
      </w:rPr>
    </w:lvl>
    <w:lvl w:ilvl="4" w:tplc="4B880E7C" w:tentative="1">
      <w:start w:val="1"/>
      <w:numFmt w:val="bullet"/>
      <w:lvlText w:val=""/>
      <w:lvlJc w:val="left"/>
      <w:pPr>
        <w:tabs>
          <w:tab w:val="num" w:pos="3240"/>
        </w:tabs>
        <w:ind w:left="3240" w:hanging="360"/>
      </w:pPr>
      <w:rPr>
        <w:rFonts w:ascii="Wingdings" w:hAnsi="Wingdings" w:hint="default"/>
      </w:rPr>
    </w:lvl>
    <w:lvl w:ilvl="5" w:tplc="F94210A6" w:tentative="1">
      <w:start w:val="1"/>
      <w:numFmt w:val="bullet"/>
      <w:lvlText w:val=""/>
      <w:lvlJc w:val="left"/>
      <w:pPr>
        <w:tabs>
          <w:tab w:val="num" w:pos="3960"/>
        </w:tabs>
        <w:ind w:left="3960" w:hanging="360"/>
      </w:pPr>
      <w:rPr>
        <w:rFonts w:ascii="Wingdings" w:hAnsi="Wingdings" w:hint="default"/>
      </w:rPr>
    </w:lvl>
    <w:lvl w:ilvl="6" w:tplc="21FAE4AE" w:tentative="1">
      <w:start w:val="1"/>
      <w:numFmt w:val="bullet"/>
      <w:lvlText w:val=""/>
      <w:lvlJc w:val="left"/>
      <w:pPr>
        <w:tabs>
          <w:tab w:val="num" w:pos="4680"/>
        </w:tabs>
        <w:ind w:left="4680" w:hanging="360"/>
      </w:pPr>
      <w:rPr>
        <w:rFonts w:ascii="Wingdings" w:hAnsi="Wingdings" w:hint="default"/>
      </w:rPr>
    </w:lvl>
    <w:lvl w:ilvl="7" w:tplc="96444900" w:tentative="1">
      <w:start w:val="1"/>
      <w:numFmt w:val="bullet"/>
      <w:lvlText w:val=""/>
      <w:lvlJc w:val="left"/>
      <w:pPr>
        <w:tabs>
          <w:tab w:val="num" w:pos="5400"/>
        </w:tabs>
        <w:ind w:left="5400" w:hanging="360"/>
      </w:pPr>
      <w:rPr>
        <w:rFonts w:ascii="Wingdings" w:hAnsi="Wingdings" w:hint="default"/>
      </w:rPr>
    </w:lvl>
    <w:lvl w:ilvl="8" w:tplc="1AF810D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F6B6814"/>
    <w:multiLevelType w:val="multilevel"/>
    <w:tmpl w:val="0C789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83EE9"/>
    <w:multiLevelType w:val="hybridMultilevel"/>
    <w:tmpl w:val="9FACFDEC"/>
    <w:lvl w:ilvl="0" w:tplc="FE3CD0A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4" w15:restartNumberingAfterBreak="0">
    <w:nsid w:val="2FEF2487"/>
    <w:multiLevelType w:val="hybridMultilevel"/>
    <w:tmpl w:val="359AA242"/>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5" w15:restartNumberingAfterBreak="0">
    <w:nsid w:val="37503BFC"/>
    <w:multiLevelType w:val="hybridMultilevel"/>
    <w:tmpl w:val="CCB6DE0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9F532FE"/>
    <w:multiLevelType w:val="multilevel"/>
    <w:tmpl w:val="088AD63C"/>
    <w:lvl w:ilvl="0">
      <w:start w:val="1"/>
      <w:numFmt w:val="bullet"/>
      <w:lvlText w:val=""/>
      <w:lvlJc w:val="left"/>
      <w:pPr>
        <w:tabs>
          <w:tab w:val="num" w:pos="-696"/>
        </w:tabs>
        <w:ind w:left="-696" w:hanging="360"/>
      </w:pPr>
      <w:rPr>
        <w:rFonts w:ascii="Symbol" w:hAnsi="Symbol" w:hint="default"/>
        <w:sz w:val="20"/>
      </w:rPr>
    </w:lvl>
    <w:lvl w:ilvl="1">
      <w:start w:val="1"/>
      <w:numFmt w:val="bullet"/>
      <w:lvlText w:val="o"/>
      <w:lvlJc w:val="left"/>
      <w:pPr>
        <w:tabs>
          <w:tab w:val="num" w:pos="24"/>
        </w:tabs>
        <w:ind w:left="24" w:hanging="360"/>
      </w:pPr>
      <w:rPr>
        <w:rFonts w:ascii="Courier New" w:hAnsi="Courier New" w:cs="Times New Roman" w:hint="default"/>
        <w:sz w:val="20"/>
      </w:rPr>
    </w:lvl>
    <w:lvl w:ilvl="2">
      <w:start w:val="1"/>
      <w:numFmt w:val="bullet"/>
      <w:lvlText w:val=""/>
      <w:lvlJc w:val="left"/>
      <w:pPr>
        <w:tabs>
          <w:tab w:val="num" w:pos="744"/>
        </w:tabs>
        <w:ind w:left="744" w:hanging="360"/>
      </w:pPr>
      <w:rPr>
        <w:rFonts w:ascii="Wingdings" w:hAnsi="Wingdings" w:hint="default"/>
        <w:sz w:val="20"/>
      </w:rPr>
    </w:lvl>
    <w:lvl w:ilvl="3">
      <w:start w:val="1"/>
      <w:numFmt w:val="bullet"/>
      <w:lvlText w:val=""/>
      <w:lvlJc w:val="left"/>
      <w:pPr>
        <w:tabs>
          <w:tab w:val="num" w:pos="1464"/>
        </w:tabs>
        <w:ind w:left="1464" w:hanging="360"/>
      </w:pPr>
      <w:rPr>
        <w:rFonts w:ascii="Wingdings" w:hAnsi="Wingdings" w:hint="default"/>
        <w:sz w:val="20"/>
      </w:rPr>
    </w:lvl>
    <w:lvl w:ilvl="4">
      <w:start w:val="1"/>
      <w:numFmt w:val="bullet"/>
      <w:lvlText w:val=""/>
      <w:lvlJc w:val="left"/>
      <w:pPr>
        <w:tabs>
          <w:tab w:val="num" w:pos="2184"/>
        </w:tabs>
        <w:ind w:left="2184" w:hanging="360"/>
      </w:pPr>
      <w:rPr>
        <w:rFonts w:ascii="Wingdings" w:hAnsi="Wingdings" w:hint="default"/>
        <w:sz w:val="20"/>
      </w:rPr>
    </w:lvl>
    <w:lvl w:ilvl="5">
      <w:start w:val="1"/>
      <w:numFmt w:val="bullet"/>
      <w:lvlText w:val=""/>
      <w:lvlJc w:val="left"/>
      <w:pPr>
        <w:tabs>
          <w:tab w:val="num" w:pos="2904"/>
        </w:tabs>
        <w:ind w:left="2904" w:hanging="360"/>
      </w:pPr>
      <w:rPr>
        <w:rFonts w:ascii="Wingdings" w:hAnsi="Wingdings" w:hint="default"/>
        <w:sz w:val="20"/>
      </w:rPr>
    </w:lvl>
    <w:lvl w:ilvl="6">
      <w:start w:val="1"/>
      <w:numFmt w:val="bullet"/>
      <w:lvlText w:val=""/>
      <w:lvlJc w:val="left"/>
      <w:pPr>
        <w:tabs>
          <w:tab w:val="num" w:pos="3624"/>
        </w:tabs>
        <w:ind w:left="3624" w:hanging="360"/>
      </w:pPr>
      <w:rPr>
        <w:rFonts w:ascii="Wingdings" w:hAnsi="Wingdings" w:hint="default"/>
        <w:sz w:val="20"/>
      </w:rPr>
    </w:lvl>
    <w:lvl w:ilvl="7">
      <w:start w:val="1"/>
      <w:numFmt w:val="bullet"/>
      <w:lvlText w:val=""/>
      <w:lvlJc w:val="left"/>
      <w:pPr>
        <w:tabs>
          <w:tab w:val="num" w:pos="4344"/>
        </w:tabs>
        <w:ind w:left="4344" w:hanging="360"/>
      </w:pPr>
      <w:rPr>
        <w:rFonts w:ascii="Wingdings" w:hAnsi="Wingdings" w:hint="default"/>
        <w:sz w:val="20"/>
      </w:rPr>
    </w:lvl>
    <w:lvl w:ilvl="8">
      <w:start w:val="1"/>
      <w:numFmt w:val="bullet"/>
      <w:lvlText w:val=""/>
      <w:lvlJc w:val="left"/>
      <w:pPr>
        <w:tabs>
          <w:tab w:val="num" w:pos="5064"/>
        </w:tabs>
        <w:ind w:left="5064" w:hanging="360"/>
      </w:pPr>
      <w:rPr>
        <w:rFonts w:ascii="Wingdings" w:hAnsi="Wingdings" w:hint="default"/>
        <w:sz w:val="20"/>
      </w:rPr>
    </w:lvl>
  </w:abstractNum>
  <w:abstractNum w:abstractNumId="27" w15:restartNumberingAfterBreak="0">
    <w:nsid w:val="39FE0783"/>
    <w:multiLevelType w:val="hybridMultilevel"/>
    <w:tmpl w:val="C8CE271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3D325702"/>
    <w:multiLevelType w:val="multilevel"/>
    <w:tmpl w:val="6F86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5C60DE"/>
    <w:multiLevelType w:val="multilevel"/>
    <w:tmpl w:val="055CDB2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A8346DF"/>
    <w:multiLevelType w:val="hybridMultilevel"/>
    <w:tmpl w:val="DE1C5972"/>
    <w:lvl w:ilvl="0" w:tplc="D23AA1C6">
      <w:start w:val="1"/>
      <w:numFmt w:val="lowerRoman"/>
      <w:lvlText w:val="(%1)"/>
      <w:lvlJc w:val="left"/>
      <w:pPr>
        <w:ind w:left="1800" w:hanging="72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4CE6552F"/>
    <w:multiLevelType w:val="hybridMultilevel"/>
    <w:tmpl w:val="620609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E5D0274"/>
    <w:multiLevelType w:val="hybridMultilevel"/>
    <w:tmpl w:val="A74EE158"/>
    <w:lvl w:ilvl="0" w:tplc="7262A30C">
      <w:numFmt w:val="bullet"/>
      <w:lvlText w:val="─"/>
      <w:lvlJc w:val="left"/>
      <w:pPr>
        <w:ind w:left="1920" w:hanging="360"/>
      </w:pPr>
      <w:rPr>
        <w:rFonts w:ascii="Calibri" w:eastAsiaTheme="minorHAnsi" w:hAnsi="Calibri"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33" w15:restartNumberingAfterBreak="0">
    <w:nsid w:val="4E7C3C10"/>
    <w:multiLevelType w:val="hybridMultilevel"/>
    <w:tmpl w:val="055CD59A"/>
    <w:lvl w:ilvl="0" w:tplc="24BA3B36">
      <w:start w:val="1"/>
      <w:numFmt w:val="bullet"/>
      <w:lvlText w:val=""/>
      <w:lvlJc w:val="left"/>
      <w:pPr>
        <w:tabs>
          <w:tab w:val="num" w:pos="720"/>
        </w:tabs>
        <w:ind w:left="720" w:hanging="360"/>
      </w:pPr>
      <w:rPr>
        <w:rFonts w:ascii="Wingdings" w:hAnsi="Wingdings" w:hint="default"/>
      </w:rPr>
    </w:lvl>
    <w:lvl w:ilvl="1" w:tplc="FA9277FA" w:tentative="1">
      <w:start w:val="1"/>
      <w:numFmt w:val="bullet"/>
      <w:lvlText w:val=""/>
      <w:lvlJc w:val="left"/>
      <w:pPr>
        <w:tabs>
          <w:tab w:val="num" w:pos="1440"/>
        </w:tabs>
        <w:ind w:left="1440" w:hanging="360"/>
      </w:pPr>
      <w:rPr>
        <w:rFonts w:ascii="Wingdings" w:hAnsi="Wingdings" w:hint="default"/>
      </w:rPr>
    </w:lvl>
    <w:lvl w:ilvl="2" w:tplc="26CE357E" w:tentative="1">
      <w:start w:val="1"/>
      <w:numFmt w:val="bullet"/>
      <w:lvlText w:val=""/>
      <w:lvlJc w:val="left"/>
      <w:pPr>
        <w:tabs>
          <w:tab w:val="num" w:pos="2160"/>
        </w:tabs>
        <w:ind w:left="2160" w:hanging="360"/>
      </w:pPr>
      <w:rPr>
        <w:rFonts w:ascii="Wingdings" w:hAnsi="Wingdings" w:hint="default"/>
      </w:rPr>
    </w:lvl>
    <w:lvl w:ilvl="3" w:tplc="A33EEF0A" w:tentative="1">
      <w:start w:val="1"/>
      <w:numFmt w:val="bullet"/>
      <w:lvlText w:val=""/>
      <w:lvlJc w:val="left"/>
      <w:pPr>
        <w:tabs>
          <w:tab w:val="num" w:pos="2880"/>
        </w:tabs>
        <w:ind w:left="2880" w:hanging="360"/>
      </w:pPr>
      <w:rPr>
        <w:rFonts w:ascii="Wingdings" w:hAnsi="Wingdings" w:hint="default"/>
      </w:rPr>
    </w:lvl>
    <w:lvl w:ilvl="4" w:tplc="DE68D796" w:tentative="1">
      <w:start w:val="1"/>
      <w:numFmt w:val="bullet"/>
      <w:lvlText w:val=""/>
      <w:lvlJc w:val="left"/>
      <w:pPr>
        <w:tabs>
          <w:tab w:val="num" w:pos="3600"/>
        </w:tabs>
        <w:ind w:left="3600" w:hanging="360"/>
      </w:pPr>
      <w:rPr>
        <w:rFonts w:ascii="Wingdings" w:hAnsi="Wingdings" w:hint="default"/>
      </w:rPr>
    </w:lvl>
    <w:lvl w:ilvl="5" w:tplc="3022126A" w:tentative="1">
      <w:start w:val="1"/>
      <w:numFmt w:val="bullet"/>
      <w:lvlText w:val=""/>
      <w:lvlJc w:val="left"/>
      <w:pPr>
        <w:tabs>
          <w:tab w:val="num" w:pos="4320"/>
        </w:tabs>
        <w:ind w:left="4320" w:hanging="360"/>
      </w:pPr>
      <w:rPr>
        <w:rFonts w:ascii="Wingdings" w:hAnsi="Wingdings" w:hint="default"/>
      </w:rPr>
    </w:lvl>
    <w:lvl w:ilvl="6" w:tplc="AD66993E" w:tentative="1">
      <w:start w:val="1"/>
      <w:numFmt w:val="bullet"/>
      <w:lvlText w:val=""/>
      <w:lvlJc w:val="left"/>
      <w:pPr>
        <w:tabs>
          <w:tab w:val="num" w:pos="5040"/>
        </w:tabs>
        <w:ind w:left="5040" w:hanging="360"/>
      </w:pPr>
      <w:rPr>
        <w:rFonts w:ascii="Wingdings" w:hAnsi="Wingdings" w:hint="default"/>
      </w:rPr>
    </w:lvl>
    <w:lvl w:ilvl="7" w:tplc="5C84CA08" w:tentative="1">
      <w:start w:val="1"/>
      <w:numFmt w:val="bullet"/>
      <w:lvlText w:val=""/>
      <w:lvlJc w:val="left"/>
      <w:pPr>
        <w:tabs>
          <w:tab w:val="num" w:pos="5760"/>
        </w:tabs>
        <w:ind w:left="5760" w:hanging="360"/>
      </w:pPr>
      <w:rPr>
        <w:rFonts w:ascii="Wingdings" w:hAnsi="Wingdings" w:hint="default"/>
      </w:rPr>
    </w:lvl>
    <w:lvl w:ilvl="8" w:tplc="0FD82B0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6905B1"/>
    <w:multiLevelType w:val="hybridMultilevel"/>
    <w:tmpl w:val="289A0AD0"/>
    <w:lvl w:ilvl="0" w:tplc="7262A30C">
      <w:numFmt w:val="bullet"/>
      <w:lvlText w:val="─"/>
      <w:lvlJc w:val="left"/>
      <w:pPr>
        <w:ind w:left="1429" w:hanging="360"/>
      </w:pPr>
      <w:rPr>
        <w:rFonts w:ascii="Calibri" w:eastAsiaTheme="minorHAnsi" w:hAnsi="Calibri"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58C249E6"/>
    <w:multiLevelType w:val="hybridMultilevel"/>
    <w:tmpl w:val="87DC85D4"/>
    <w:lvl w:ilvl="0" w:tplc="7262A30C">
      <w:numFmt w:val="bullet"/>
      <w:lvlText w:val="─"/>
      <w:lvlJc w:val="left"/>
      <w:pPr>
        <w:ind w:left="-360" w:hanging="360"/>
      </w:pPr>
      <w:rPr>
        <w:rFonts w:ascii="Calibri" w:eastAsiaTheme="minorHAnsi" w:hAnsi="Calibri"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6" w15:restartNumberingAfterBreak="0">
    <w:nsid w:val="623D0510"/>
    <w:multiLevelType w:val="multilevel"/>
    <w:tmpl w:val="A4CA6004"/>
    <w:lvl w:ilvl="0">
      <w:numFmt w:val="bullet"/>
      <w:lvlText w:val="─"/>
      <w:lvlJc w:val="left"/>
      <w:pPr>
        <w:tabs>
          <w:tab w:val="num" w:pos="720"/>
        </w:tabs>
        <w:ind w:left="720" w:hanging="360"/>
      </w:pPr>
      <w:rPr>
        <w:rFonts w:ascii="Calibri" w:eastAsia="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816B3"/>
    <w:multiLevelType w:val="multilevel"/>
    <w:tmpl w:val="0B168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D249E"/>
    <w:multiLevelType w:val="hybridMultilevel"/>
    <w:tmpl w:val="7A4EA460"/>
    <w:lvl w:ilvl="0" w:tplc="7262A30C">
      <w:numFmt w:val="bullet"/>
      <w:lvlText w:val="─"/>
      <w:lvlJc w:val="left"/>
      <w:pPr>
        <w:ind w:left="-360" w:hanging="360"/>
      </w:pPr>
      <w:rPr>
        <w:rFonts w:ascii="Calibri" w:eastAsiaTheme="minorHAnsi" w:hAnsi="Calibri" w:hint="default"/>
      </w:rPr>
    </w:lvl>
    <w:lvl w:ilvl="1" w:tplc="7262A30C">
      <w:numFmt w:val="bullet"/>
      <w:lvlText w:val="─"/>
      <w:lvlJc w:val="left"/>
      <w:pPr>
        <w:ind w:left="360" w:hanging="360"/>
      </w:pPr>
      <w:rPr>
        <w:rFonts w:ascii="Calibri" w:eastAsiaTheme="minorHAnsi" w:hAnsi="Calibri"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1800" w:hanging="360"/>
      </w:pPr>
      <w:rPr>
        <w:rFonts w:ascii="Symbol" w:hAnsi="Symbol" w:hint="default"/>
      </w:rPr>
    </w:lvl>
    <w:lvl w:ilvl="4" w:tplc="040C0003">
      <w:start w:val="1"/>
      <w:numFmt w:val="bullet"/>
      <w:lvlText w:val="o"/>
      <w:lvlJc w:val="left"/>
      <w:pPr>
        <w:ind w:left="2520" w:hanging="360"/>
      </w:pPr>
      <w:rPr>
        <w:rFonts w:ascii="Courier New" w:hAnsi="Courier New" w:cs="Courier New" w:hint="default"/>
      </w:rPr>
    </w:lvl>
    <w:lvl w:ilvl="5" w:tplc="040C0005">
      <w:start w:val="1"/>
      <w:numFmt w:val="bullet"/>
      <w:lvlText w:val=""/>
      <w:lvlJc w:val="left"/>
      <w:pPr>
        <w:ind w:left="3240" w:hanging="360"/>
      </w:pPr>
      <w:rPr>
        <w:rFonts w:ascii="Wingdings" w:hAnsi="Wingdings" w:hint="default"/>
      </w:rPr>
    </w:lvl>
    <w:lvl w:ilvl="6" w:tplc="040C0001">
      <w:start w:val="1"/>
      <w:numFmt w:val="bullet"/>
      <w:lvlText w:val=""/>
      <w:lvlJc w:val="left"/>
      <w:pPr>
        <w:ind w:left="3960" w:hanging="360"/>
      </w:pPr>
      <w:rPr>
        <w:rFonts w:ascii="Symbol" w:hAnsi="Symbol" w:hint="default"/>
      </w:rPr>
    </w:lvl>
    <w:lvl w:ilvl="7" w:tplc="040C0003">
      <w:start w:val="1"/>
      <w:numFmt w:val="bullet"/>
      <w:lvlText w:val="o"/>
      <w:lvlJc w:val="left"/>
      <w:pPr>
        <w:ind w:left="4680" w:hanging="360"/>
      </w:pPr>
      <w:rPr>
        <w:rFonts w:ascii="Courier New" w:hAnsi="Courier New" w:cs="Courier New" w:hint="default"/>
      </w:rPr>
    </w:lvl>
    <w:lvl w:ilvl="8" w:tplc="040C0005">
      <w:start w:val="1"/>
      <w:numFmt w:val="bullet"/>
      <w:lvlText w:val=""/>
      <w:lvlJc w:val="left"/>
      <w:pPr>
        <w:ind w:left="5400" w:hanging="360"/>
      </w:pPr>
      <w:rPr>
        <w:rFonts w:ascii="Wingdings" w:hAnsi="Wingdings" w:hint="default"/>
      </w:rPr>
    </w:lvl>
  </w:abstractNum>
  <w:abstractNum w:abstractNumId="39" w15:restartNumberingAfterBreak="0">
    <w:nsid w:val="6DF04F64"/>
    <w:multiLevelType w:val="hybridMultilevel"/>
    <w:tmpl w:val="F7F8A4DE"/>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6DF2333A"/>
    <w:multiLevelType w:val="hybridMultilevel"/>
    <w:tmpl w:val="FE8A9094"/>
    <w:lvl w:ilvl="0" w:tplc="040C0015">
      <w:start w:val="1"/>
      <w:numFmt w:val="upperLetter"/>
      <w:lvlText w:val="%1."/>
      <w:lvlJc w:val="left"/>
      <w:pPr>
        <w:ind w:left="-360" w:hanging="360"/>
      </w:pPr>
    </w:lvl>
    <w:lvl w:ilvl="1" w:tplc="040C0019">
      <w:start w:val="1"/>
      <w:numFmt w:val="lowerLetter"/>
      <w:lvlText w:val="%2."/>
      <w:lvlJc w:val="left"/>
      <w:pPr>
        <w:ind w:left="360" w:hanging="360"/>
      </w:pPr>
    </w:lvl>
    <w:lvl w:ilvl="2" w:tplc="040C001B">
      <w:start w:val="1"/>
      <w:numFmt w:val="lowerRoman"/>
      <w:lvlText w:val="%3."/>
      <w:lvlJc w:val="right"/>
      <w:pPr>
        <w:ind w:left="1080" w:hanging="180"/>
      </w:pPr>
    </w:lvl>
    <w:lvl w:ilvl="3" w:tplc="040C000F">
      <w:start w:val="1"/>
      <w:numFmt w:val="decimal"/>
      <w:lvlText w:val="%4."/>
      <w:lvlJc w:val="left"/>
      <w:pPr>
        <w:ind w:left="1800" w:hanging="360"/>
      </w:pPr>
    </w:lvl>
    <w:lvl w:ilvl="4" w:tplc="040C0019">
      <w:start w:val="1"/>
      <w:numFmt w:val="lowerLetter"/>
      <w:lvlText w:val="%5."/>
      <w:lvlJc w:val="left"/>
      <w:pPr>
        <w:ind w:left="2520" w:hanging="360"/>
      </w:pPr>
    </w:lvl>
    <w:lvl w:ilvl="5" w:tplc="040C001B">
      <w:start w:val="1"/>
      <w:numFmt w:val="lowerRoman"/>
      <w:lvlText w:val="%6."/>
      <w:lvlJc w:val="right"/>
      <w:pPr>
        <w:ind w:left="3240" w:hanging="180"/>
      </w:pPr>
    </w:lvl>
    <w:lvl w:ilvl="6" w:tplc="040C000F">
      <w:start w:val="1"/>
      <w:numFmt w:val="decimal"/>
      <w:lvlText w:val="%7."/>
      <w:lvlJc w:val="left"/>
      <w:pPr>
        <w:ind w:left="3960" w:hanging="360"/>
      </w:pPr>
    </w:lvl>
    <w:lvl w:ilvl="7" w:tplc="040C0019">
      <w:start w:val="1"/>
      <w:numFmt w:val="lowerLetter"/>
      <w:lvlText w:val="%8."/>
      <w:lvlJc w:val="left"/>
      <w:pPr>
        <w:ind w:left="4680" w:hanging="360"/>
      </w:pPr>
    </w:lvl>
    <w:lvl w:ilvl="8" w:tplc="040C001B">
      <w:start w:val="1"/>
      <w:numFmt w:val="lowerRoman"/>
      <w:lvlText w:val="%9."/>
      <w:lvlJc w:val="right"/>
      <w:pPr>
        <w:ind w:left="5400" w:hanging="180"/>
      </w:pPr>
    </w:lvl>
  </w:abstractNum>
  <w:abstractNum w:abstractNumId="41" w15:restartNumberingAfterBreak="0">
    <w:nsid w:val="6E156E7F"/>
    <w:multiLevelType w:val="hybridMultilevel"/>
    <w:tmpl w:val="7A5A347C"/>
    <w:lvl w:ilvl="0" w:tplc="D152D5E2">
      <w:start w:val="1"/>
      <w:numFmt w:val="bullet"/>
      <w:lvlText w:val=""/>
      <w:lvlJc w:val="left"/>
      <w:pPr>
        <w:tabs>
          <w:tab w:val="num" w:pos="720"/>
        </w:tabs>
        <w:ind w:left="720" w:hanging="360"/>
      </w:pPr>
      <w:rPr>
        <w:rFonts w:ascii="Wingdings" w:hAnsi="Wingdings" w:hint="default"/>
      </w:rPr>
    </w:lvl>
    <w:lvl w:ilvl="1" w:tplc="DE7CD834" w:tentative="1">
      <w:start w:val="1"/>
      <w:numFmt w:val="bullet"/>
      <w:lvlText w:val=""/>
      <w:lvlJc w:val="left"/>
      <w:pPr>
        <w:tabs>
          <w:tab w:val="num" w:pos="1440"/>
        </w:tabs>
        <w:ind w:left="1440" w:hanging="360"/>
      </w:pPr>
      <w:rPr>
        <w:rFonts w:ascii="Wingdings" w:hAnsi="Wingdings" w:hint="default"/>
      </w:rPr>
    </w:lvl>
    <w:lvl w:ilvl="2" w:tplc="D1B82A02" w:tentative="1">
      <w:start w:val="1"/>
      <w:numFmt w:val="bullet"/>
      <w:lvlText w:val=""/>
      <w:lvlJc w:val="left"/>
      <w:pPr>
        <w:tabs>
          <w:tab w:val="num" w:pos="2160"/>
        </w:tabs>
        <w:ind w:left="2160" w:hanging="360"/>
      </w:pPr>
      <w:rPr>
        <w:rFonts w:ascii="Wingdings" w:hAnsi="Wingdings" w:hint="default"/>
      </w:rPr>
    </w:lvl>
    <w:lvl w:ilvl="3" w:tplc="07D6E3A4" w:tentative="1">
      <w:start w:val="1"/>
      <w:numFmt w:val="bullet"/>
      <w:lvlText w:val=""/>
      <w:lvlJc w:val="left"/>
      <w:pPr>
        <w:tabs>
          <w:tab w:val="num" w:pos="2880"/>
        </w:tabs>
        <w:ind w:left="2880" w:hanging="360"/>
      </w:pPr>
      <w:rPr>
        <w:rFonts w:ascii="Wingdings" w:hAnsi="Wingdings" w:hint="default"/>
      </w:rPr>
    </w:lvl>
    <w:lvl w:ilvl="4" w:tplc="B39ABB7E" w:tentative="1">
      <w:start w:val="1"/>
      <w:numFmt w:val="bullet"/>
      <w:lvlText w:val=""/>
      <w:lvlJc w:val="left"/>
      <w:pPr>
        <w:tabs>
          <w:tab w:val="num" w:pos="3600"/>
        </w:tabs>
        <w:ind w:left="3600" w:hanging="360"/>
      </w:pPr>
      <w:rPr>
        <w:rFonts w:ascii="Wingdings" w:hAnsi="Wingdings" w:hint="default"/>
      </w:rPr>
    </w:lvl>
    <w:lvl w:ilvl="5" w:tplc="8974A920" w:tentative="1">
      <w:start w:val="1"/>
      <w:numFmt w:val="bullet"/>
      <w:lvlText w:val=""/>
      <w:lvlJc w:val="left"/>
      <w:pPr>
        <w:tabs>
          <w:tab w:val="num" w:pos="4320"/>
        </w:tabs>
        <w:ind w:left="4320" w:hanging="360"/>
      </w:pPr>
      <w:rPr>
        <w:rFonts w:ascii="Wingdings" w:hAnsi="Wingdings" w:hint="default"/>
      </w:rPr>
    </w:lvl>
    <w:lvl w:ilvl="6" w:tplc="C63C9E50" w:tentative="1">
      <w:start w:val="1"/>
      <w:numFmt w:val="bullet"/>
      <w:lvlText w:val=""/>
      <w:lvlJc w:val="left"/>
      <w:pPr>
        <w:tabs>
          <w:tab w:val="num" w:pos="5040"/>
        </w:tabs>
        <w:ind w:left="5040" w:hanging="360"/>
      </w:pPr>
      <w:rPr>
        <w:rFonts w:ascii="Wingdings" w:hAnsi="Wingdings" w:hint="default"/>
      </w:rPr>
    </w:lvl>
    <w:lvl w:ilvl="7" w:tplc="DDEC3082" w:tentative="1">
      <w:start w:val="1"/>
      <w:numFmt w:val="bullet"/>
      <w:lvlText w:val=""/>
      <w:lvlJc w:val="left"/>
      <w:pPr>
        <w:tabs>
          <w:tab w:val="num" w:pos="5760"/>
        </w:tabs>
        <w:ind w:left="5760" w:hanging="360"/>
      </w:pPr>
      <w:rPr>
        <w:rFonts w:ascii="Wingdings" w:hAnsi="Wingdings" w:hint="default"/>
      </w:rPr>
    </w:lvl>
    <w:lvl w:ilvl="8" w:tplc="3DC6496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5310BC"/>
    <w:multiLevelType w:val="hybridMultilevel"/>
    <w:tmpl w:val="586CAD98"/>
    <w:lvl w:ilvl="0" w:tplc="7262A30C">
      <w:numFmt w:val="bullet"/>
      <w:lvlText w:val="─"/>
      <w:lvlJc w:val="left"/>
      <w:pPr>
        <w:ind w:left="3000" w:hanging="360"/>
      </w:pPr>
      <w:rPr>
        <w:rFonts w:ascii="Calibri" w:eastAsia="Calibri" w:hAnsi="Calibri" w:cs="Times New Roman" w:hint="default"/>
      </w:rPr>
    </w:lvl>
    <w:lvl w:ilvl="1" w:tplc="040C0003">
      <w:start w:val="1"/>
      <w:numFmt w:val="bullet"/>
      <w:lvlText w:val="o"/>
      <w:lvlJc w:val="left"/>
      <w:pPr>
        <w:ind w:left="3720" w:hanging="360"/>
      </w:pPr>
      <w:rPr>
        <w:rFonts w:ascii="Courier New" w:hAnsi="Courier New" w:cs="Courier New" w:hint="default"/>
      </w:rPr>
    </w:lvl>
    <w:lvl w:ilvl="2" w:tplc="040C0005">
      <w:start w:val="1"/>
      <w:numFmt w:val="bullet"/>
      <w:lvlText w:val=""/>
      <w:lvlJc w:val="left"/>
      <w:pPr>
        <w:ind w:left="4440" w:hanging="360"/>
      </w:pPr>
      <w:rPr>
        <w:rFonts w:ascii="Wingdings" w:hAnsi="Wingdings" w:hint="default"/>
      </w:rPr>
    </w:lvl>
    <w:lvl w:ilvl="3" w:tplc="040C0001">
      <w:start w:val="1"/>
      <w:numFmt w:val="bullet"/>
      <w:lvlText w:val=""/>
      <w:lvlJc w:val="left"/>
      <w:pPr>
        <w:ind w:left="5160" w:hanging="360"/>
      </w:pPr>
      <w:rPr>
        <w:rFonts w:ascii="Symbol" w:hAnsi="Symbol" w:hint="default"/>
      </w:rPr>
    </w:lvl>
    <w:lvl w:ilvl="4" w:tplc="040C0003">
      <w:start w:val="1"/>
      <w:numFmt w:val="bullet"/>
      <w:lvlText w:val="o"/>
      <w:lvlJc w:val="left"/>
      <w:pPr>
        <w:ind w:left="5880" w:hanging="360"/>
      </w:pPr>
      <w:rPr>
        <w:rFonts w:ascii="Courier New" w:hAnsi="Courier New" w:cs="Courier New" w:hint="default"/>
      </w:rPr>
    </w:lvl>
    <w:lvl w:ilvl="5" w:tplc="040C0005">
      <w:start w:val="1"/>
      <w:numFmt w:val="bullet"/>
      <w:lvlText w:val=""/>
      <w:lvlJc w:val="left"/>
      <w:pPr>
        <w:ind w:left="6600" w:hanging="360"/>
      </w:pPr>
      <w:rPr>
        <w:rFonts w:ascii="Wingdings" w:hAnsi="Wingdings" w:hint="default"/>
      </w:rPr>
    </w:lvl>
    <w:lvl w:ilvl="6" w:tplc="040C0001">
      <w:start w:val="1"/>
      <w:numFmt w:val="bullet"/>
      <w:lvlText w:val=""/>
      <w:lvlJc w:val="left"/>
      <w:pPr>
        <w:ind w:left="7320" w:hanging="360"/>
      </w:pPr>
      <w:rPr>
        <w:rFonts w:ascii="Symbol" w:hAnsi="Symbol" w:hint="default"/>
      </w:rPr>
    </w:lvl>
    <w:lvl w:ilvl="7" w:tplc="040C0003">
      <w:start w:val="1"/>
      <w:numFmt w:val="bullet"/>
      <w:lvlText w:val="o"/>
      <w:lvlJc w:val="left"/>
      <w:pPr>
        <w:ind w:left="8040" w:hanging="360"/>
      </w:pPr>
      <w:rPr>
        <w:rFonts w:ascii="Courier New" w:hAnsi="Courier New" w:cs="Courier New" w:hint="default"/>
      </w:rPr>
    </w:lvl>
    <w:lvl w:ilvl="8" w:tplc="040C0005">
      <w:start w:val="1"/>
      <w:numFmt w:val="bullet"/>
      <w:lvlText w:val=""/>
      <w:lvlJc w:val="left"/>
      <w:pPr>
        <w:ind w:left="876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2"/>
  </w:num>
  <w:num w:numId="4">
    <w:abstractNumId w:val="26"/>
  </w:num>
  <w:num w:numId="5">
    <w:abstractNumId w:val="15"/>
  </w:num>
  <w:num w:numId="6">
    <w:abstractNumId w:val="16"/>
  </w:num>
  <w:num w:numId="7">
    <w:abstractNumId w:val="28"/>
  </w:num>
  <w:num w:numId="8">
    <w:abstractNumId w:val="8"/>
  </w:num>
  <w:num w:numId="9">
    <w:abstractNumId w:val="37"/>
  </w:num>
  <w:num w:numId="10">
    <w:abstractNumId w:val="36"/>
  </w:num>
  <w:num w:numId="11">
    <w:abstractNumId w:val="42"/>
  </w:num>
  <w:num w:numId="12">
    <w:abstractNumId w:val="0"/>
    <w:lvlOverride w:ilvl="0"/>
    <w:lvlOverride w:ilvl="1"/>
    <w:lvlOverride w:ilvl="2">
      <w:startOverride w:val="1"/>
    </w:lvlOverride>
    <w:lvlOverride w:ilvl="3"/>
    <w:lvlOverride w:ilvl="4"/>
    <w:lvlOverride w:ilvl="5"/>
    <w:lvlOverride w:ilvl="6"/>
    <w:lvlOverride w:ilvl="7"/>
    <w:lvlOverride w:ilvl="8"/>
  </w:num>
  <w:num w:numId="13">
    <w:abstractNumId w:val="30"/>
  </w:num>
  <w:num w:numId="14">
    <w:abstractNumId w:val="38"/>
  </w:num>
  <w:num w:numId="15">
    <w:abstractNumId w:val="40"/>
  </w:num>
  <w:num w:numId="16">
    <w:abstractNumId w:val="5"/>
  </w:num>
  <w:num w:numId="17">
    <w:abstractNumId w:val="32"/>
  </w:num>
  <w:num w:numId="18">
    <w:abstractNumId w:val="29"/>
  </w:num>
  <w:num w:numId="19">
    <w:abstractNumId w:val="24"/>
  </w:num>
  <w:num w:numId="20">
    <w:abstractNumId w:val="17"/>
  </w:num>
  <w:num w:numId="21">
    <w:abstractNumId w:val="20"/>
  </w:num>
  <w:num w:numId="22">
    <w:abstractNumId w:val="34"/>
  </w:num>
  <w:num w:numId="23">
    <w:abstractNumId w:val="23"/>
  </w:num>
  <w:num w:numId="24">
    <w:abstractNumId w:val="21"/>
  </w:num>
  <w:num w:numId="25">
    <w:abstractNumId w:val="41"/>
  </w:num>
  <w:num w:numId="26">
    <w:abstractNumId w:val="33"/>
  </w:num>
  <w:num w:numId="27">
    <w:abstractNumId w:val="11"/>
  </w:num>
  <w:num w:numId="28">
    <w:abstractNumId w:val="1"/>
  </w:num>
  <w:num w:numId="29">
    <w:abstractNumId w:val="18"/>
  </w:num>
  <w:num w:numId="30">
    <w:abstractNumId w:val="14"/>
  </w:num>
  <w:num w:numId="31">
    <w:abstractNumId w:val="35"/>
  </w:num>
  <w:num w:numId="32">
    <w:abstractNumId w:val="12"/>
  </w:num>
  <w:num w:numId="33">
    <w:abstractNumId w:val="3"/>
  </w:num>
  <w:num w:numId="34">
    <w:abstractNumId w:val="2"/>
  </w:num>
  <w:num w:numId="35">
    <w:abstractNumId w:val="9"/>
  </w:num>
  <w:num w:numId="36">
    <w:abstractNumId w:val="25"/>
  </w:num>
  <w:num w:numId="37">
    <w:abstractNumId w:val="19"/>
  </w:num>
  <w:num w:numId="38">
    <w:abstractNumId w:val="7"/>
  </w:num>
  <w:num w:numId="39">
    <w:abstractNumId w:val="10"/>
  </w:num>
  <w:num w:numId="40">
    <w:abstractNumId w:val="6"/>
  </w:num>
  <w:num w:numId="41">
    <w:abstractNumId w:val="13"/>
  </w:num>
  <w:num w:numId="42">
    <w:abstractNumId w:val="27"/>
  </w:num>
  <w:num w:numId="43">
    <w:abstractNumId w:val="31"/>
  </w:num>
  <w:num w:numId="44">
    <w:abstractNumId w:val="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9B"/>
    <w:rsid w:val="00023768"/>
    <w:rsid w:val="000244F1"/>
    <w:rsid w:val="00075500"/>
    <w:rsid w:val="000F62C6"/>
    <w:rsid w:val="00101603"/>
    <w:rsid w:val="00122E98"/>
    <w:rsid w:val="001330C4"/>
    <w:rsid w:val="001334FF"/>
    <w:rsid w:val="001542D2"/>
    <w:rsid w:val="001819DB"/>
    <w:rsid w:val="001C4927"/>
    <w:rsid w:val="00214BC7"/>
    <w:rsid w:val="00252F37"/>
    <w:rsid w:val="002613D6"/>
    <w:rsid w:val="00265E82"/>
    <w:rsid w:val="002768E8"/>
    <w:rsid w:val="00285BB7"/>
    <w:rsid w:val="002B36A9"/>
    <w:rsid w:val="002B6F2E"/>
    <w:rsid w:val="002C168D"/>
    <w:rsid w:val="002E4F5A"/>
    <w:rsid w:val="00341526"/>
    <w:rsid w:val="003A436B"/>
    <w:rsid w:val="003A6894"/>
    <w:rsid w:val="003D1534"/>
    <w:rsid w:val="00403BAF"/>
    <w:rsid w:val="004112FF"/>
    <w:rsid w:val="00412D6F"/>
    <w:rsid w:val="00414E35"/>
    <w:rsid w:val="0043443A"/>
    <w:rsid w:val="00495C7F"/>
    <w:rsid w:val="004970AA"/>
    <w:rsid w:val="004A16AC"/>
    <w:rsid w:val="004A3940"/>
    <w:rsid w:val="004B5DB5"/>
    <w:rsid w:val="004B6CBF"/>
    <w:rsid w:val="004B7F3D"/>
    <w:rsid w:val="005155B6"/>
    <w:rsid w:val="00552F64"/>
    <w:rsid w:val="005850EB"/>
    <w:rsid w:val="00593C44"/>
    <w:rsid w:val="005C7AB9"/>
    <w:rsid w:val="00601E2F"/>
    <w:rsid w:val="006C039F"/>
    <w:rsid w:val="006E5B84"/>
    <w:rsid w:val="00725429"/>
    <w:rsid w:val="00742449"/>
    <w:rsid w:val="00760812"/>
    <w:rsid w:val="00763B86"/>
    <w:rsid w:val="0079223E"/>
    <w:rsid w:val="007B6088"/>
    <w:rsid w:val="007D1854"/>
    <w:rsid w:val="007D590F"/>
    <w:rsid w:val="007F7450"/>
    <w:rsid w:val="00800412"/>
    <w:rsid w:val="0080124A"/>
    <w:rsid w:val="00815083"/>
    <w:rsid w:val="00825051"/>
    <w:rsid w:val="00860B1D"/>
    <w:rsid w:val="00866EE9"/>
    <w:rsid w:val="00892058"/>
    <w:rsid w:val="00895A6E"/>
    <w:rsid w:val="008E091A"/>
    <w:rsid w:val="00957373"/>
    <w:rsid w:val="009B4070"/>
    <w:rsid w:val="009D6332"/>
    <w:rsid w:val="00A26CA6"/>
    <w:rsid w:val="00A41342"/>
    <w:rsid w:val="00A46E80"/>
    <w:rsid w:val="00A50C5C"/>
    <w:rsid w:val="00A617F2"/>
    <w:rsid w:val="00A910FA"/>
    <w:rsid w:val="00B17534"/>
    <w:rsid w:val="00B21DE8"/>
    <w:rsid w:val="00B36047"/>
    <w:rsid w:val="00B71E52"/>
    <w:rsid w:val="00BC1A92"/>
    <w:rsid w:val="00BD7587"/>
    <w:rsid w:val="00C35DFA"/>
    <w:rsid w:val="00C415D1"/>
    <w:rsid w:val="00C8364A"/>
    <w:rsid w:val="00D1508A"/>
    <w:rsid w:val="00D42C70"/>
    <w:rsid w:val="00D53E70"/>
    <w:rsid w:val="00D95224"/>
    <w:rsid w:val="00DB20C0"/>
    <w:rsid w:val="00E01AE0"/>
    <w:rsid w:val="00E0256B"/>
    <w:rsid w:val="00E13998"/>
    <w:rsid w:val="00E371E3"/>
    <w:rsid w:val="00E4150E"/>
    <w:rsid w:val="00E42CF9"/>
    <w:rsid w:val="00E456F6"/>
    <w:rsid w:val="00E656AB"/>
    <w:rsid w:val="00EA5C49"/>
    <w:rsid w:val="00EC5D13"/>
    <w:rsid w:val="00F2469F"/>
    <w:rsid w:val="00F51A0F"/>
    <w:rsid w:val="00F52A9B"/>
    <w:rsid w:val="00F6483D"/>
    <w:rsid w:val="00F93EF9"/>
    <w:rsid w:val="00FB0308"/>
    <w:rsid w:val="00FC6915"/>
    <w:rsid w:val="00FE6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FB44"/>
  <w15:chartTrackingRefBased/>
  <w15:docId w15:val="{0AFE45E1-ABE2-4E95-BCBE-CC4B7902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A9B"/>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2A9B"/>
    <w:rPr>
      <w:color w:val="0000FF"/>
      <w:u w:val="single"/>
    </w:rPr>
  </w:style>
  <w:style w:type="paragraph" w:styleId="NormalWeb">
    <w:name w:val="Normal (Web)"/>
    <w:basedOn w:val="Normal"/>
    <w:uiPriority w:val="99"/>
    <w:unhideWhenUsed/>
    <w:rsid w:val="00F52A9B"/>
    <w:pPr>
      <w:spacing w:before="100" w:beforeAutospacing="1" w:after="100" w:afterAutospacing="1"/>
    </w:pPr>
    <w:rPr>
      <w:lang w:eastAsia="fr-FR"/>
    </w:rPr>
  </w:style>
  <w:style w:type="paragraph" w:styleId="Paragraphedeliste">
    <w:name w:val="List Paragraph"/>
    <w:basedOn w:val="Normal"/>
    <w:uiPriority w:val="34"/>
    <w:qFormat/>
    <w:rsid w:val="00F52A9B"/>
    <w:pPr>
      <w:ind w:left="720"/>
    </w:pPr>
  </w:style>
  <w:style w:type="character" w:styleId="lev">
    <w:name w:val="Strong"/>
    <w:basedOn w:val="Policepardfaut"/>
    <w:uiPriority w:val="22"/>
    <w:qFormat/>
    <w:rsid w:val="00F52A9B"/>
    <w:rPr>
      <w:b/>
      <w:bCs/>
    </w:rPr>
  </w:style>
  <w:style w:type="character" w:styleId="Mentionnonrsolue">
    <w:name w:val="Unresolved Mention"/>
    <w:basedOn w:val="Policepardfaut"/>
    <w:uiPriority w:val="99"/>
    <w:semiHidden/>
    <w:unhideWhenUsed/>
    <w:rsid w:val="00A46E80"/>
    <w:rPr>
      <w:color w:val="808080"/>
      <w:shd w:val="clear" w:color="auto" w:fill="E6E6E6"/>
    </w:rPr>
  </w:style>
  <w:style w:type="character" w:styleId="Marquedecommentaire">
    <w:name w:val="annotation reference"/>
    <w:basedOn w:val="Policepardfaut"/>
    <w:uiPriority w:val="99"/>
    <w:semiHidden/>
    <w:unhideWhenUsed/>
    <w:rsid w:val="007D1854"/>
    <w:rPr>
      <w:sz w:val="16"/>
      <w:szCs w:val="16"/>
    </w:rPr>
  </w:style>
  <w:style w:type="paragraph" w:styleId="Commentaire">
    <w:name w:val="annotation text"/>
    <w:basedOn w:val="Normal"/>
    <w:link w:val="CommentaireCar"/>
    <w:uiPriority w:val="99"/>
    <w:semiHidden/>
    <w:unhideWhenUsed/>
    <w:rsid w:val="007D1854"/>
    <w:rPr>
      <w:sz w:val="20"/>
      <w:szCs w:val="20"/>
    </w:rPr>
  </w:style>
  <w:style w:type="character" w:customStyle="1" w:styleId="CommentaireCar">
    <w:name w:val="Commentaire Car"/>
    <w:basedOn w:val="Policepardfaut"/>
    <w:link w:val="Commentaire"/>
    <w:uiPriority w:val="99"/>
    <w:semiHidden/>
    <w:rsid w:val="007D1854"/>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7D1854"/>
    <w:rPr>
      <w:b/>
      <w:bCs/>
    </w:rPr>
  </w:style>
  <w:style w:type="character" w:customStyle="1" w:styleId="ObjetducommentaireCar">
    <w:name w:val="Objet du commentaire Car"/>
    <w:basedOn w:val="CommentaireCar"/>
    <w:link w:val="Objetducommentaire"/>
    <w:uiPriority w:val="99"/>
    <w:semiHidden/>
    <w:rsid w:val="007D1854"/>
    <w:rPr>
      <w:rFonts w:ascii="Calibri" w:hAnsi="Calibri" w:cs="Calibri"/>
      <w:b/>
      <w:bCs/>
      <w:sz w:val="20"/>
      <w:szCs w:val="20"/>
    </w:rPr>
  </w:style>
  <w:style w:type="paragraph" w:styleId="Textedebulles">
    <w:name w:val="Balloon Text"/>
    <w:basedOn w:val="Normal"/>
    <w:link w:val="TextedebullesCar"/>
    <w:uiPriority w:val="99"/>
    <w:semiHidden/>
    <w:unhideWhenUsed/>
    <w:rsid w:val="007D18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1854"/>
    <w:rPr>
      <w:rFonts w:ascii="Segoe UI" w:hAnsi="Segoe UI" w:cs="Segoe UI"/>
      <w:sz w:val="18"/>
      <w:szCs w:val="18"/>
    </w:rPr>
  </w:style>
  <w:style w:type="paragraph" w:styleId="Notedebasdepage">
    <w:name w:val="footnote text"/>
    <w:basedOn w:val="Normal"/>
    <w:link w:val="NotedebasdepageCar"/>
    <w:uiPriority w:val="99"/>
    <w:semiHidden/>
    <w:unhideWhenUsed/>
    <w:rsid w:val="00265E82"/>
    <w:rPr>
      <w:sz w:val="20"/>
      <w:szCs w:val="20"/>
    </w:rPr>
  </w:style>
  <w:style w:type="character" w:customStyle="1" w:styleId="NotedebasdepageCar">
    <w:name w:val="Note de bas de page Car"/>
    <w:basedOn w:val="Policepardfaut"/>
    <w:link w:val="Notedebasdepage"/>
    <w:uiPriority w:val="99"/>
    <w:semiHidden/>
    <w:rsid w:val="00265E82"/>
    <w:rPr>
      <w:rFonts w:ascii="Calibri" w:hAnsi="Calibri" w:cs="Calibri"/>
      <w:sz w:val="20"/>
      <w:szCs w:val="20"/>
    </w:rPr>
  </w:style>
  <w:style w:type="character" w:styleId="Appelnotedebasdep">
    <w:name w:val="footnote reference"/>
    <w:basedOn w:val="Policepardfaut"/>
    <w:uiPriority w:val="99"/>
    <w:semiHidden/>
    <w:unhideWhenUsed/>
    <w:rsid w:val="00265E82"/>
    <w:rPr>
      <w:vertAlign w:val="superscript"/>
    </w:rPr>
  </w:style>
  <w:style w:type="character" w:styleId="Lienhypertextesuivivisit">
    <w:name w:val="FollowedHyperlink"/>
    <w:basedOn w:val="Policepardfaut"/>
    <w:uiPriority w:val="99"/>
    <w:semiHidden/>
    <w:unhideWhenUsed/>
    <w:rsid w:val="00265E82"/>
    <w:rPr>
      <w:color w:val="800080" w:themeColor="followedHyperlink"/>
      <w:u w:val="single"/>
    </w:rPr>
  </w:style>
  <w:style w:type="paragraph" w:customStyle="1" w:styleId="Default">
    <w:name w:val="Default"/>
    <w:rsid w:val="00265E82"/>
    <w:pPr>
      <w:autoSpaceDE w:val="0"/>
      <w:autoSpaceDN w:val="0"/>
      <w:adjustRightInd w:val="0"/>
      <w:spacing w:after="0" w:line="240" w:lineRule="auto"/>
    </w:pPr>
    <w:rPr>
      <w:rFonts w:ascii="Calibri" w:hAnsi="Calibri" w:cs="Calibri"/>
      <w:color w:val="000000"/>
      <w:sz w:val="24"/>
      <w:szCs w:val="24"/>
    </w:rPr>
  </w:style>
  <w:style w:type="character" w:styleId="Accentuation">
    <w:name w:val="Emphasis"/>
    <w:basedOn w:val="Policepardfaut"/>
    <w:uiPriority w:val="20"/>
    <w:qFormat/>
    <w:rsid w:val="00252F37"/>
    <w:rPr>
      <w:i/>
      <w:iCs/>
    </w:rPr>
  </w:style>
  <w:style w:type="character" w:customStyle="1" w:styleId="gras">
    <w:name w:val="gras"/>
    <w:basedOn w:val="Policepardfaut"/>
    <w:rsid w:val="00E13998"/>
  </w:style>
  <w:style w:type="character" w:customStyle="1" w:styleId="italique">
    <w:name w:val="italique"/>
    <w:basedOn w:val="Policepardfaut"/>
    <w:rsid w:val="00E13998"/>
  </w:style>
  <w:style w:type="paragraph" w:styleId="Rvision">
    <w:name w:val="Revision"/>
    <w:hidden/>
    <w:uiPriority w:val="99"/>
    <w:semiHidden/>
    <w:rsid w:val="00F2469F"/>
    <w:pPr>
      <w:spacing w:after="0" w:line="240" w:lineRule="auto"/>
    </w:pPr>
    <w:rPr>
      <w:rFonts w:ascii="Calibri" w:hAnsi="Calibri" w:cs="Calibri"/>
    </w:rPr>
  </w:style>
  <w:style w:type="table" w:styleId="Grilledutableau">
    <w:name w:val="Table Grid"/>
    <w:basedOn w:val="TableauNormal"/>
    <w:uiPriority w:val="59"/>
    <w:rsid w:val="0002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02376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2">
    <w:name w:val="Grid Table 4 Accent 2"/>
    <w:basedOn w:val="TableauNormal"/>
    <w:uiPriority w:val="49"/>
    <w:rsid w:val="0002376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8257">
      <w:bodyDiv w:val="1"/>
      <w:marLeft w:val="0"/>
      <w:marRight w:val="0"/>
      <w:marTop w:val="0"/>
      <w:marBottom w:val="0"/>
      <w:divBdr>
        <w:top w:val="none" w:sz="0" w:space="0" w:color="auto"/>
        <w:left w:val="none" w:sz="0" w:space="0" w:color="auto"/>
        <w:bottom w:val="none" w:sz="0" w:space="0" w:color="auto"/>
        <w:right w:val="none" w:sz="0" w:space="0" w:color="auto"/>
      </w:divBdr>
    </w:div>
    <w:div w:id="151064974">
      <w:bodyDiv w:val="1"/>
      <w:marLeft w:val="0"/>
      <w:marRight w:val="0"/>
      <w:marTop w:val="0"/>
      <w:marBottom w:val="0"/>
      <w:divBdr>
        <w:top w:val="none" w:sz="0" w:space="0" w:color="auto"/>
        <w:left w:val="none" w:sz="0" w:space="0" w:color="auto"/>
        <w:bottom w:val="none" w:sz="0" w:space="0" w:color="auto"/>
        <w:right w:val="none" w:sz="0" w:space="0" w:color="auto"/>
      </w:divBdr>
    </w:div>
    <w:div w:id="347952027">
      <w:bodyDiv w:val="1"/>
      <w:marLeft w:val="0"/>
      <w:marRight w:val="0"/>
      <w:marTop w:val="0"/>
      <w:marBottom w:val="0"/>
      <w:divBdr>
        <w:top w:val="none" w:sz="0" w:space="0" w:color="auto"/>
        <w:left w:val="none" w:sz="0" w:space="0" w:color="auto"/>
        <w:bottom w:val="none" w:sz="0" w:space="0" w:color="auto"/>
        <w:right w:val="none" w:sz="0" w:space="0" w:color="auto"/>
      </w:divBdr>
    </w:div>
    <w:div w:id="438723059">
      <w:bodyDiv w:val="1"/>
      <w:marLeft w:val="0"/>
      <w:marRight w:val="0"/>
      <w:marTop w:val="0"/>
      <w:marBottom w:val="0"/>
      <w:divBdr>
        <w:top w:val="none" w:sz="0" w:space="0" w:color="auto"/>
        <w:left w:val="none" w:sz="0" w:space="0" w:color="auto"/>
        <w:bottom w:val="none" w:sz="0" w:space="0" w:color="auto"/>
        <w:right w:val="none" w:sz="0" w:space="0" w:color="auto"/>
      </w:divBdr>
      <w:divsChild>
        <w:div w:id="1146121096">
          <w:marLeft w:val="331"/>
          <w:marRight w:val="0"/>
          <w:marTop w:val="240"/>
          <w:marBottom w:val="0"/>
          <w:divBdr>
            <w:top w:val="none" w:sz="0" w:space="0" w:color="auto"/>
            <w:left w:val="none" w:sz="0" w:space="0" w:color="auto"/>
            <w:bottom w:val="none" w:sz="0" w:space="0" w:color="auto"/>
            <w:right w:val="none" w:sz="0" w:space="0" w:color="auto"/>
          </w:divBdr>
        </w:div>
        <w:div w:id="1204631859">
          <w:marLeft w:val="331"/>
          <w:marRight w:val="0"/>
          <w:marTop w:val="240"/>
          <w:marBottom w:val="0"/>
          <w:divBdr>
            <w:top w:val="none" w:sz="0" w:space="0" w:color="auto"/>
            <w:left w:val="none" w:sz="0" w:space="0" w:color="auto"/>
            <w:bottom w:val="none" w:sz="0" w:space="0" w:color="auto"/>
            <w:right w:val="none" w:sz="0" w:space="0" w:color="auto"/>
          </w:divBdr>
        </w:div>
        <w:div w:id="1403334980">
          <w:marLeft w:val="331"/>
          <w:marRight w:val="0"/>
          <w:marTop w:val="240"/>
          <w:marBottom w:val="0"/>
          <w:divBdr>
            <w:top w:val="none" w:sz="0" w:space="0" w:color="auto"/>
            <w:left w:val="none" w:sz="0" w:space="0" w:color="auto"/>
            <w:bottom w:val="none" w:sz="0" w:space="0" w:color="auto"/>
            <w:right w:val="none" w:sz="0" w:space="0" w:color="auto"/>
          </w:divBdr>
        </w:div>
        <w:div w:id="1229069718">
          <w:marLeft w:val="331"/>
          <w:marRight w:val="0"/>
          <w:marTop w:val="240"/>
          <w:marBottom w:val="0"/>
          <w:divBdr>
            <w:top w:val="none" w:sz="0" w:space="0" w:color="auto"/>
            <w:left w:val="none" w:sz="0" w:space="0" w:color="auto"/>
            <w:bottom w:val="none" w:sz="0" w:space="0" w:color="auto"/>
            <w:right w:val="none" w:sz="0" w:space="0" w:color="auto"/>
          </w:divBdr>
        </w:div>
        <w:div w:id="258029605">
          <w:marLeft w:val="331"/>
          <w:marRight w:val="0"/>
          <w:marTop w:val="240"/>
          <w:marBottom w:val="0"/>
          <w:divBdr>
            <w:top w:val="none" w:sz="0" w:space="0" w:color="auto"/>
            <w:left w:val="none" w:sz="0" w:space="0" w:color="auto"/>
            <w:bottom w:val="none" w:sz="0" w:space="0" w:color="auto"/>
            <w:right w:val="none" w:sz="0" w:space="0" w:color="auto"/>
          </w:divBdr>
        </w:div>
        <w:div w:id="1333336834">
          <w:marLeft w:val="331"/>
          <w:marRight w:val="0"/>
          <w:marTop w:val="240"/>
          <w:marBottom w:val="0"/>
          <w:divBdr>
            <w:top w:val="none" w:sz="0" w:space="0" w:color="auto"/>
            <w:left w:val="none" w:sz="0" w:space="0" w:color="auto"/>
            <w:bottom w:val="none" w:sz="0" w:space="0" w:color="auto"/>
            <w:right w:val="none" w:sz="0" w:space="0" w:color="auto"/>
          </w:divBdr>
        </w:div>
        <w:div w:id="1659840651">
          <w:marLeft w:val="360"/>
          <w:marRight w:val="0"/>
          <w:marTop w:val="240"/>
          <w:marBottom w:val="0"/>
          <w:divBdr>
            <w:top w:val="none" w:sz="0" w:space="0" w:color="auto"/>
            <w:left w:val="none" w:sz="0" w:space="0" w:color="auto"/>
            <w:bottom w:val="none" w:sz="0" w:space="0" w:color="auto"/>
            <w:right w:val="none" w:sz="0" w:space="0" w:color="auto"/>
          </w:divBdr>
        </w:div>
        <w:div w:id="245843826">
          <w:marLeft w:val="360"/>
          <w:marRight w:val="0"/>
          <w:marTop w:val="240"/>
          <w:marBottom w:val="0"/>
          <w:divBdr>
            <w:top w:val="none" w:sz="0" w:space="0" w:color="auto"/>
            <w:left w:val="none" w:sz="0" w:space="0" w:color="auto"/>
            <w:bottom w:val="none" w:sz="0" w:space="0" w:color="auto"/>
            <w:right w:val="none" w:sz="0" w:space="0" w:color="auto"/>
          </w:divBdr>
        </w:div>
        <w:div w:id="1189295395">
          <w:marLeft w:val="360"/>
          <w:marRight w:val="0"/>
          <w:marTop w:val="240"/>
          <w:marBottom w:val="0"/>
          <w:divBdr>
            <w:top w:val="none" w:sz="0" w:space="0" w:color="auto"/>
            <w:left w:val="none" w:sz="0" w:space="0" w:color="auto"/>
            <w:bottom w:val="none" w:sz="0" w:space="0" w:color="auto"/>
            <w:right w:val="none" w:sz="0" w:space="0" w:color="auto"/>
          </w:divBdr>
        </w:div>
      </w:divsChild>
    </w:div>
    <w:div w:id="464660175">
      <w:bodyDiv w:val="1"/>
      <w:marLeft w:val="0"/>
      <w:marRight w:val="0"/>
      <w:marTop w:val="0"/>
      <w:marBottom w:val="0"/>
      <w:divBdr>
        <w:top w:val="none" w:sz="0" w:space="0" w:color="auto"/>
        <w:left w:val="none" w:sz="0" w:space="0" w:color="auto"/>
        <w:bottom w:val="none" w:sz="0" w:space="0" w:color="auto"/>
        <w:right w:val="none" w:sz="0" w:space="0" w:color="auto"/>
      </w:divBdr>
    </w:div>
    <w:div w:id="678655439">
      <w:bodyDiv w:val="1"/>
      <w:marLeft w:val="0"/>
      <w:marRight w:val="0"/>
      <w:marTop w:val="0"/>
      <w:marBottom w:val="0"/>
      <w:divBdr>
        <w:top w:val="none" w:sz="0" w:space="0" w:color="auto"/>
        <w:left w:val="none" w:sz="0" w:space="0" w:color="auto"/>
        <w:bottom w:val="none" w:sz="0" w:space="0" w:color="auto"/>
        <w:right w:val="none" w:sz="0" w:space="0" w:color="auto"/>
      </w:divBdr>
    </w:div>
    <w:div w:id="690768236">
      <w:bodyDiv w:val="1"/>
      <w:marLeft w:val="0"/>
      <w:marRight w:val="0"/>
      <w:marTop w:val="0"/>
      <w:marBottom w:val="0"/>
      <w:divBdr>
        <w:top w:val="none" w:sz="0" w:space="0" w:color="auto"/>
        <w:left w:val="none" w:sz="0" w:space="0" w:color="auto"/>
        <w:bottom w:val="none" w:sz="0" w:space="0" w:color="auto"/>
        <w:right w:val="none" w:sz="0" w:space="0" w:color="auto"/>
      </w:divBdr>
    </w:div>
    <w:div w:id="820194147">
      <w:bodyDiv w:val="1"/>
      <w:marLeft w:val="0"/>
      <w:marRight w:val="0"/>
      <w:marTop w:val="0"/>
      <w:marBottom w:val="0"/>
      <w:divBdr>
        <w:top w:val="none" w:sz="0" w:space="0" w:color="auto"/>
        <w:left w:val="none" w:sz="0" w:space="0" w:color="auto"/>
        <w:bottom w:val="none" w:sz="0" w:space="0" w:color="auto"/>
        <w:right w:val="none" w:sz="0" w:space="0" w:color="auto"/>
      </w:divBdr>
    </w:div>
    <w:div w:id="83742287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7">
          <w:marLeft w:val="274"/>
          <w:marRight w:val="0"/>
          <w:marTop w:val="0"/>
          <w:marBottom w:val="0"/>
          <w:divBdr>
            <w:top w:val="none" w:sz="0" w:space="0" w:color="auto"/>
            <w:left w:val="none" w:sz="0" w:space="0" w:color="auto"/>
            <w:bottom w:val="none" w:sz="0" w:space="0" w:color="auto"/>
            <w:right w:val="none" w:sz="0" w:space="0" w:color="auto"/>
          </w:divBdr>
        </w:div>
        <w:div w:id="1709840283">
          <w:marLeft w:val="274"/>
          <w:marRight w:val="0"/>
          <w:marTop w:val="0"/>
          <w:marBottom w:val="0"/>
          <w:divBdr>
            <w:top w:val="none" w:sz="0" w:space="0" w:color="auto"/>
            <w:left w:val="none" w:sz="0" w:space="0" w:color="auto"/>
            <w:bottom w:val="none" w:sz="0" w:space="0" w:color="auto"/>
            <w:right w:val="none" w:sz="0" w:space="0" w:color="auto"/>
          </w:divBdr>
        </w:div>
      </w:divsChild>
    </w:div>
    <w:div w:id="1166743431">
      <w:bodyDiv w:val="1"/>
      <w:marLeft w:val="0"/>
      <w:marRight w:val="0"/>
      <w:marTop w:val="0"/>
      <w:marBottom w:val="0"/>
      <w:divBdr>
        <w:top w:val="none" w:sz="0" w:space="0" w:color="auto"/>
        <w:left w:val="none" w:sz="0" w:space="0" w:color="auto"/>
        <w:bottom w:val="none" w:sz="0" w:space="0" w:color="auto"/>
        <w:right w:val="none" w:sz="0" w:space="0" w:color="auto"/>
      </w:divBdr>
    </w:div>
    <w:div w:id="1242135068">
      <w:bodyDiv w:val="1"/>
      <w:marLeft w:val="0"/>
      <w:marRight w:val="0"/>
      <w:marTop w:val="0"/>
      <w:marBottom w:val="0"/>
      <w:divBdr>
        <w:top w:val="none" w:sz="0" w:space="0" w:color="auto"/>
        <w:left w:val="none" w:sz="0" w:space="0" w:color="auto"/>
        <w:bottom w:val="none" w:sz="0" w:space="0" w:color="auto"/>
        <w:right w:val="none" w:sz="0" w:space="0" w:color="auto"/>
      </w:divBdr>
    </w:div>
    <w:div w:id="1393968181">
      <w:bodyDiv w:val="1"/>
      <w:marLeft w:val="0"/>
      <w:marRight w:val="0"/>
      <w:marTop w:val="0"/>
      <w:marBottom w:val="0"/>
      <w:divBdr>
        <w:top w:val="none" w:sz="0" w:space="0" w:color="auto"/>
        <w:left w:val="none" w:sz="0" w:space="0" w:color="auto"/>
        <w:bottom w:val="none" w:sz="0" w:space="0" w:color="auto"/>
        <w:right w:val="none" w:sz="0" w:space="0" w:color="auto"/>
      </w:divBdr>
    </w:div>
    <w:div w:id="1572035367">
      <w:bodyDiv w:val="1"/>
      <w:marLeft w:val="0"/>
      <w:marRight w:val="0"/>
      <w:marTop w:val="0"/>
      <w:marBottom w:val="0"/>
      <w:divBdr>
        <w:top w:val="none" w:sz="0" w:space="0" w:color="auto"/>
        <w:left w:val="none" w:sz="0" w:space="0" w:color="auto"/>
        <w:bottom w:val="none" w:sz="0" w:space="0" w:color="auto"/>
        <w:right w:val="none" w:sz="0" w:space="0" w:color="auto"/>
      </w:divBdr>
    </w:div>
    <w:div w:id="1635408561">
      <w:bodyDiv w:val="1"/>
      <w:marLeft w:val="0"/>
      <w:marRight w:val="0"/>
      <w:marTop w:val="0"/>
      <w:marBottom w:val="0"/>
      <w:divBdr>
        <w:top w:val="none" w:sz="0" w:space="0" w:color="auto"/>
        <w:left w:val="none" w:sz="0" w:space="0" w:color="auto"/>
        <w:bottom w:val="none" w:sz="0" w:space="0" w:color="auto"/>
        <w:right w:val="none" w:sz="0" w:space="0" w:color="auto"/>
      </w:divBdr>
    </w:div>
    <w:div w:id="19943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parency-france.org/wp-content/uploads/2016/04/2015_D%C3%A9claration-commune-sur-le-lobbying.pdf" TargetMode="External"/><Relationship Id="rId13" Type="http://schemas.openxmlformats.org/officeDocument/2006/relationships/hyperlink" Target="https://www.hatvp.fr/fiche-organisation/?organisation=552120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nat.fr/fileadmin/Fichiers/Images/sgp/Code_de_conduit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transparencyregister/public/staticPage/displayStaticPage.do?reference=CODE_OF_CONDUCT&amp;loca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transparencyregister/public/consultation/displaylobbyist.do?id=34369111614-57&amp;locale=fr" TargetMode="External"/><Relationship Id="rId4" Type="http://schemas.openxmlformats.org/officeDocument/2006/relationships/settings" Target="settings.xml"/><Relationship Id="rId9" Type="http://schemas.openxmlformats.org/officeDocument/2006/relationships/hyperlink" Target="https://www.societegenerale.com/sites/default/files/documents/140513%20Charte%20repr%C3%A9sentation%20responsable%20SG.PDF" TargetMode="External"/><Relationship Id="rId14" Type="http://schemas.openxmlformats.org/officeDocument/2006/relationships/hyperlink" Target="Various%20roles%20and%20responsibilities%20have%20been%20defined%20to%20allow%20correct%20handling%20of%20the%20Group's%20oblig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043BE-436B-4C72-956B-BE6EADBC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71874C95</Template>
  <TotalTime>9</TotalTime>
  <Pages>9</Pages>
  <Words>4293</Words>
  <Characters>23612</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GAILLAT</dc:creator>
  <cp:keywords/>
  <dc:description/>
  <cp:lastModifiedBy>JULIE GAILLAT</cp:lastModifiedBy>
  <cp:revision>9</cp:revision>
  <cp:lastPrinted>2019-03-18T08:55:00Z</cp:lastPrinted>
  <dcterms:created xsi:type="dcterms:W3CDTF">2019-04-26T08:45:00Z</dcterms:created>
  <dcterms:modified xsi:type="dcterms:W3CDTF">2019-04-30T11:38:00Z</dcterms:modified>
</cp:coreProperties>
</file>